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A62" w:rsidRDefault="00AB7E5C" w:rsidP="00AB7E5C">
      <w:pPr>
        <w:spacing w:after="0" w:line="240" w:lineRule="auto"/>
        <w:jc w:val="center"/>
        <w:rPr>
          <w:rFonts w:ascii="Times New Roman" w:hAnsi="Times New Roman"/>
          <w:b/>
          <w:sz w:val="24"/>
          <w:szCs w:val="24"/>
        </w:rPr>
      </w:pPr>
      <w:bookmarkStart w:id="0" w:name="_GoBack"/>
      <w:bookmarkEnd w:id="0"/>
      <w:r>
        <w:rPr>
          <w:rFonts w:ascii="Times New Roman" w:hAnsi="Times New Roman"/>
          <w:b/>
          <w:sz w:val="24"/>
          <w:szCs w:val="24"/>
        </w:rPr>
        <w:t>Proposed amendment to Bill No. 170678-AA</w:t>
      </w:r>
    </w:p>
    <w:p w:rsidR="00AB7E5C" w:rsidRDefault="00AB7E5C" w:rsidP="00AB7E5C">
      <w:pPr>
        <w:spacing w:after="0" w:line="240" w:lineRule="auto"/>
        <w:jc w:val="center"/>
        <w:rPr>
          <w:rFonts w:ascii="Times New Roman" w:hAnsi="Times New Roman"/>
          <w:sz w:val="24"/>
          <w:szCs w:val="24"/>
        </w:rPr>
      </w:pPr>
    </w:p>
    <w:p w:rsidR="00AB7E5C" w:rsidRDefault="00AB7E5C" w:rsidP="00AB7E5C">
      <w:pPr>
        <w:spacing w:after="0" w:line="240" w:lineRule="auto"/>
        <w:jc w:val="center"/>
        <w:rPr>
          <w:rFonts w:ascii="Times New Roman" w:hAnsi="Times New Roman"/>
          <w:sz w:val="24"/>
          <w:szCs w:val="24"/>
        </w:rPr>
      </w:pPr>
      <w:r>
        <w:rPr>
          <w:rFonts w:ascii="Times New Roman" w:hAnsi="Times New Roman"/>
          <w:sz w:val="24"/>
          <w:szCs w:val="24"/>
        </w:rPr>
        <w:t xml:space="preserve">Matter proposed to be added by amendment is in </w:t>
      </w:r>
      <w:r>
        <w:rPr>
          <w:rFonts w:ascii="Times New Roman" w:hAnsi="Times New Roman"/>
          <w:b/>
          <w:sz w:val="24"/>
          <w:szCs w:val="24"/>
        </w:rPr>
        <w:t>bold</w:t>
      </w:r>
    </w:p>
    <w:p w:rsidR="00AB7E5C" w:rsidRPr="00AB7E5C" w:rsidRDefault="00AB7E5C" w:rsidP="00AB7E5C">
      <w:pPr>
        <w:spacing w:after="0" w:line="240" w:lineRule="auto"/>
        <w:jc w:val="center"/>
        <w:rPr>
          <w:rFonts w:ascii="Times New Roman" w:hAnsi="Times New Roman"/>
          <w:sz w:val="24"/>
          <w:szCs w:val="24"/>
        </w:rPr>
      </w:pPr>
      <w:r>
        <w:rPr>
          <w:rFonts w:ascii="Times New Roman" w:hAnsi="Times New Roman"/>
          <w:sz w:val="24"/>
          <w:szCs w:val="24"/>
        </w:rPr>
        <w:t xml:space="preserve">Matter proposed to be deleted by amendment is in </w:t>
      </w:r>
      <w:r>
        <w:rPr>
          <w:rFonts w:ascii="Times New Roman" w:hAnsi="Times New Roman"/>
          <w:strike/>
          <w:sz w:val="24"/>
          <w:szCs w:val="24"/>
        </w:rPr>
        <w:t>strikethrough</w:t>
      </w:r>
    </w:p>
    <w:p w:rsidR="00AB7E5C" w:rsidRDefault="00AB7E5C" w:rsidP="00A51A62">
      <w:pPr>
        <w:spacing w:after="0" w:line="240" w:lineRule="auto"/>
        <w:rPr>
          <w:rFonts w:ascii="Times New Roman" w:hAnsi="Times New Roman"/>
          <w:sz w:val="24"/>
          <w:szCs w:val="24"/>
        </w:rPr>
      </w:pPr>
    </w:p>
    <w:p w:rsidR="00A51A62" w:rsidRDefault="00A51A62" w:rsidP="00A51A62">
      <w:pPr>
        <w:spacing w:after="0" w:line="240" w:lineRule="auto"/>
        <w:rPr>
          <w:rFonts w:ascii="Times New Roman" w:hAnsi="Times New Roman"/>
          <w:sz w:val="24"/>
          <w:szCs w:val="24"/>
        </w:rPr>
      </w:pPr>
      <w:r>
        <w:rPr>
          <w:rFonts w:ascii="Times New Roman" w:hAnsi="Times New Roman"/>
          <w:sz w:val="24"/>
          <w:szCs w:val="24"/>
        </w:rPr>
        <w:t>Amending Title 7 of The Philadelphia Code, entitled “Housing Code,” by adding a new Chapter 7-200, entitled “Mixed Income Housing Program,” to provide for affordable housing standards; amending Section 14-702 of The Philadelphia Code, entitled “Mixed Income Housing,” to make related changes; amending Chapters 14-600 and 14-700 of The Philadelphia Code, entitled, respectively, “Use Regulations” and “Development Standards,” to amend certain zoning standards relating to residential development; and making related amendments; all under certain terms and conditions.</w:t>
      </w:r>
    </w:p>
    <w:p w:rsidR="00A51A62" w:rsidRDefault="00A51A62" w:rsidP="00A51A62">
      <w:pPr>
        <w:spacing w:after="0" w:line="240" w:lineRule="auto"/>
        <w:rPr>
          <w:rFonts w:ascii="Times New Roman" w:hAnsi="Times New Roman"/>
          <w:i/>
          <w:sz w:val="24"/>
          <w:szCs w:val="24"/>
        </w:rPr>
      </w:pPr>
    </w:p>
    <w:p w:rsidR="00A51A62" w:rsidRDefault="00AB7E5C" w:rsidP="00A51A62">
      <w:pPr>
        <w:spacing w:after="0" w:line="240" w:lineRule="auto"/>
        <w:outlineLvl w:val="0"/>
        <w:rPr>
          <w:rFonts w:ascii="Times New Roman" w:hAnsi="Times New Roman"/>
          <w:sz w:val="24"/>
          <w:szCs w:val="24"/>
        </w:rPr>
      </w:pPr>
      <w:r>
        <w:rPr>
          <w:rFonts w:ascii="Times New Roman" w:hAnsi="Times New Roman"/>
          <w:sz w:val="24"/>
          <w:szCs w:val="24"/>
        </w:rPr>
        <w:br/>
      </w:r>
      <w:r w:rsidR="00A51A62">
        <w:rPr>
          <w:rFonts w:ascii="Times New Roman" w:hAnsi="Times New Roman"/>
          <w:i/>
          <w:sz w:val="24"/>
          <w:szCs w:val="24"/>
        </w:rPr>
        <w:t>THE COUNCIL OF THE CITY OF PHILADELPHIA HEREBY ORDAINS:</w:t>
      </w:r>
    </w:p>
    <w:p w:rsidR="00A51A62" w:rsidRDefault="00A51A62" w:rsidP="00A51A62">
      <w:pPr>
        <w:spacing w:after="0" w:line="240" w:lineRule="auto"/>
        <w:rPr>
          <w:rFonts w:ascii="Times New Roman" w:hAnsi="Times New Roman"/>
          <w:sz w:val="24"/>
          <w:szCs w:val="24"/>
        </w:rPr>
      </w:pPr>
    </w:p>
    <w:p w:rsidR="00A51A62" w:rsidRDefault="00A51A62" w:rsidP="00A51A62">
      <w:pPr>
        <w:spacing w:after="0" w:line="300" w:lineRule="exact"/>
        <w:rPr>
          <w:rFonts w:ascii="Times New Roman" w:hAnsi="Times New Roman"/>
          <w:sz w:val="24"/>
          <w:szCs w:val="24"/>
        </w:rPr>
      </w:pPr>
      <w:r>
        <w:rPr>
          <w:rFonts w:ascii="Times New Roman" w:hAnsi="Times New Roman"/>
          <w:sz w:val="24"/>
          <w:szCs w:val="24"/>
        </w:rPr>
        <w:t>SECTION 1.  Title 14 of The Philadelphia Code is hereby amended to read as follows:</w:t>
      </w:r>
    </w:p>
    <w:p w:rsidR="00A51A62" w:rsidRDefault="00A51A62" w:rsidP="00A51A62">
      <w:pPr>
        <w:spacing w:after="0" w:line="300" w:lineRule="exact"/>
        <w:rPr>
          <w:rFonts w:ascii="Times New Roman" w:hAnsi="Times New Roman"/>
          <w:sz w:val="24"/>
          <w:szCs w:val="24"/>
        </w:rPr>
      </w:pPr>
    </w:p>
    <w:p w:rsidR="00A51A62" w:rsidRDefault="00A51A62" w:rsidP="00A51A62">
      <w:pPr>
        <w:spacing w:after="0" w:line="240" w:lineRule="auto"/>
        <w:jc w:val="both"/>
        <w:rPr>
          <w:rFonts w:ascii="Times New Roman" w:hAnsi="Times New Roman"/>
          <w:sz w:val="24"/>
          <w:szCs w:val="24"/>
        </w:rPr>
      </w:pPr>
      <w:r>
        <w:rPr>
          <w:rFonts w:ascii="Times New Roman" w:hAnsi="Times New Roman"/>
          <w:sz w:val="24"/>
          <w:szCs w:val="24"/>
        </w:rPr>
        <w:t xml:space="preserve">Key:  </w:t>
      </w:r>
      <w:r>
        <w:rPr>
          <w:rFonts w:ascii="Times New Roman" w:hAnsi="Times New Roman"/>
          <w:sz w:val="24"/>
          <w:szCs w:val="24"/>
        </w:rPr>
        <w:tab/>
      </w:r>
    </w:p>
    <w:p w:rsidR="00A51A62" w:rsidRDefault="00A51A62" w:rsidP="00A51A62">
      <w:pPr>
        <w:spacing w:after="0" w:line="300" w:lineRule="exact"/>
        <w:rPr>
          <w:rFonts w:ascii="Times New Roman" w:hAnsi="Times New Roman"/>
          <w:sz w:val="24"/>
          <w:szCs w:val="24"/>
        </w:rPr>
      </w:pPr>
      <w:r>
        <w:rPr>
          <w:rFonts w:ascii="Times New Roman" w:hAnsi="Times New Roman"/>
          <w:sz w:val="24"/>
          <w:szCs w:val="24"/>
        </w:rPr>
        <w:t>1. In Tables that contain bracketed table notes, and in the table notes, deletions are indicated by { } rather than [ ].</w:t>
      </w:r>
    </w:p>
    <w:p w:rsidR="00A51A62" w:rsidRDefault="00A51A62" w:rsidP="00A51A62">
      <w:pPr>
        <w:spacing w:after="0" w:line="300" w:lineRule="exact"/>
        <w:rPr>
          <w:rFonts w:ascii="Times New Roman" w:hAnsi="Times New Roman"/>
          <w:sz w:val="24"/>
          <w:szCs w:val="24"/>
        </w:rPr>
      </w:pPr>
    </w:p>
    <w:p w:rsidR="00A51A62" w:rsidRDefault="00A51A62" w:rsidP="00A51A62">
      <w:pPr>
        <w:spacing w:after="0" w:line="300" w:lineRule="exact"/>
        <w:jc w:val="center"/>
        <w:outlineLvl w:val="0"/>
        <w:rPr>
          <w:rFonts w:ascii="Times New Roman" w:hAnsi="Times New Roman"/>
          <w:sz w:val="24"/>
          <w:szCs w:val="24"/>
        </w:rPr>
      </w:pPr>
      <w:r>
        <w:rPr>
          <w:rFonts w:ascii="Times New Roman" w:hAnsi="Times New Roman"/>
          <w:sz w:val="24"/>
          <w:szCs w:val="24"/>
        </w:rPr>
        <w:t>TITLE 14.  ZONING AND PLANNING</w:t>
      </w:r>
    </w:p>
    <w:p w:rsidR="00A51A62" w:rsidRDefault="00A51A62" w:rsidP="00A51A62">
      <w:pPr>
        <w:spacing w:after="0" w:line="300" w:lineRule="exact"/>
        <w:jc w:val="center"/>
        <w:rPr>
          <w:rFonts w:ascii="Times New Roman" w:hAnsi="Times New Roman"/>
          <w:sz w:val="24"/>
          <w:szCs w:val="24"/>
        </w:rPr>
      </w:pPr>
    </w:p>
    <w:p w:rsidR="00A51A62" w:rsidRDefault="00A51A62" w:rsidP="00A51A62">
      <w:pPr>
        <w:spacing w:after="0" w:line="300" w:lineRule="exact"/>
        <w:jc w:val="center"/>
        <w:rPr>
          <w:rFonts w:ascii="Times New Roman" w:hAnsi="Times New Roman"/>
          <w:sz w:val="24"/>
          <w:szCs w:val="24"/>
        </w:rPr>
      </w:pPr>
      <w:r>
        <w:rPr>
          <w:rFonts w:ascii="Times New Roman" w:hAnsi="Times New Roman"/>
          <w:sz w:val="24"/>
          <w:szCs w:val="24"/>
        </w:rPr>
        <w:t>*     *     *</w:t>
      </w:r>
    </w:p>
    <w:p w:rsidR="00A51A62" w:rsidRDefault="00A51A62" w:rsidP="00A51A62">
      <w:pPr>
        <w:spacing w:after="0" w:line="300" w:lineRule="exact"/>
        <w:jc w:val="center"/>
        <w:rPr>
          <w:rFonts w:ascii="Times New Roman" w:hAnsi="Times New Roman"/>
          <w:sz w:val="24"/>
          <w:szCs w:val="24"/>
        </w:rPr>
      </w:pPr>
    </w:p>
    <w:p w:rsidR="00A51A62" w:rsidRDefault="00A51A62" w:rsidP="00A51A62">
      <w:pPr>
        <w:spacing w:after="0" w:line="300" w:lineRule="exact"/>
        <w:jc w:val="center"/>
        <w:rPr>
          <w:rFonts w:ascii="Times New Roman" w:hAnsi="Times New Roman"/>
          <w:sz w:val="24"/>
          <w:szCs w:val="24"/>
        </w:rPr>
      </w:pPr>
      <w:r>
        <w:rPr>
          <w:rFonts w:ascii="Times New Roman" w:hAnsi="Times New Roman"/>
          <w:sz w:val="24"/>
          <w:szCs w:val="24"/>
        </w:rPr>
        <w:t>CHAPTER 14-600.  USE REGULATIONS</w:t>
      </w:r>
    </w:p>
    <w:p w:rsidR="00A51A62" w:rsidRDefault="00A51A62" w:rsidP="00A51A62">
      <w:pPr>
        <w:spacing w:after="0" w:line="300" w:lineRule="exact"/>
        <w:jc w:val="center"/>
        <w:rPr>
          <w:rFonts w:ascii="Times New Roman" w:hAnsi="Times New Roman"/>
          <w:sz w:val="24"/>
          <w:szCs w:val="24"/>
        </w:rPr>
      </w:pPr>
    </w:p>
    <w:p w:rsidR="00A51A62" w:rsidRDefault="00A51A62" w:rsidP="00A51A62">
      <w:pPr>
        <w:spacing w:after="0" w:line="300" w:lineRule="exact"/>
        <w:jc w:val="center"/>
        <w:rPr>
          <w:rFonts w:ascii="Times New Roman" w:hAnsi="Times New Roman"/>
          <w:sz w:val="24"/>
          <w:szCs w:val="24"/>
        </w:rPr>
      </w:pPr>
      <w:r>
        <w:rPr>
          <w:rFonts w:ascii="Times New Roman" w:hAnsi="Times New Roman"/>
          <w:sz w:val="24"/>
          <w:szCs w:val="24"/>
        </w:rPr>
        <w:t>*     *     *</w:t>
      </w:r>
    </w:p>
    <w:p w:rsidR="00A51A62" w:rsidRDefault="00A51A62" w:rsidP="00A51A62">
      <w:pPr>
        <w:spacing w:after="0" w:line="300" w:lineRule="exact"/>
        <w:jc w:val="center"/>
        <w:rPr>
          <w:rFonts w:ascii="Times New Roman" w:hAnsi="Times New Roman"/>
          <w:sz w:val="24"/>
          <w:szCs w:val="24"/>
        </w:rPr>
      </w:pPr>
    </w:p>
    <w:p w:rsidR="00A51A62" w:rsidRDefault="00A51A62" w:rsidP="00A51A62">
      <w:pPr>
        <w:spacing w:after="0" w:line="300" w:lineRule="exact"/>
        <w:rPr>
          <w:rFonts w:ascii="Times New Roman" w:hAnsi="Times New Roman"/>
          <w:sz w:val="24"/>
          <w:szCs w:val="24"/>
        </w:rPr>
      </w:pPr>
      <w:r>
        <w:rPr>
          <w:rFonts w:ascii="Times New Roman" w:hAnsi="Times New Roman"/>
          <w:sz w:val="24"/>
          <w:szCs w:val="24"/>
        </w:rPr>
        <w:t>§ 14-602.  Use Tables.</w:t>
      </w:r>
    </w:p>
    <w:p w:rsidR="00A51A62" w:rsidRDefault="00A51A62" w:rsidP="00A51A62">
      <w:pPr>
        <w:spacing w:after="0" w:line="300" w:lineRule="exact"/>
        <w:jc w:val="center"/>
        <w:rPr>
          <w:rFonts w:ascii="Times New Roman" w:hAnsi="Times New Roman"/>
          <w:sz w:val="24"/>
          <w:szCs w:val="24"/>
        </w:rPr>
      </w:pPr>
    </w:p>
    <w:p w:rsidR="00A51A62" w:rsidRDefault="00A51A62" w:rsidP="00A51A62">
      <w:pPr>
        <w:spacing w:after="0" w:line="300" w:lineRule="exact"/>
        <w:jc w:val="center"/>
        <w:rPr>
          <w:rFonts w:ascii="Times New Roman" w:hAnsi="Times New Roman"/>
          <w:sz w:val="24"/>
          <w:szCs w:val="24"/>
        </w:rPr>
      </w:pPr>
      <w:r>
        <w:rPr>
          <w:rFonts w:ascii="Times New Roman" w:hAnsi="Times New Roman"/>
          <w:sz w:val="24"/>
          <w:szCs w:val="24"/>
        </w:rPr>
        <w:t>*     *     *</w:t>
      </w:r>
    </w:p>
    <w:p w:rsidR="00A51A62" w:rsidRDefault="00A51A62" w:rsidP="00A51A62">
      <w:pPr>
        <w:spacing w:after="0" w:line="300" w:lineRule="exact"/>
        <w:jc w:val="center"/>
        <w:rPr>
          <w:rFonts w:ascii="Times New Roman" w:hAnsi="Times New Roman"/>
          <w:sz w:val="24"/>
          <w:szCs w:val="24"/>
        </w:rPr>
      </w:pPr>
    </w:p>
    <w:p w:rsidR="00A51A62" w:rsidRDefault="00A51A62" w:rsidP="00A51A62">
      <w:pPr>
        <w:spacing w:after="0" w:line="300" w:lineRule="exact"/>
        <w:ind w:firstLine="720"/>
        <w:rPr>
          <w:rFonts w:ascii="Times New Roman" w:hAnsi="Times New Roman"/>
          <w:sz w:val="24"/>
          <w:szCs w:val="24"/>
        </w:rPr>
      </w:pPr>
      <w:r>
        <w:rPr>
          <w:rFonts w:ascii="Times New Roman" w:hAnsi="Times New Roman"/>
          <w:sz w:val="24"/>
          <w:szCs w:val="24"/>
        </w:rPr>
        <w:t>(4)   Commercial Districts.</w:t>
      </w:r>
    </w:p>
    <w:p w:rsidR="00A51A62" w:rsidRDefault="00A51A62" w:rsidP="00A51A62">
      <w:pPr>
        <w:spacing w:after="0" w:line="300" w:lineRule="exact"/>
        <w:ind w:firstLine="720"/>
        <w:rPr>
          <w:rFonts w:ascii="Times New Roman" w:hAnsi="Times New Roman"/>
          <w:sz w:val="24"/>
          <w:szCs w:val="24"/>
        </w:rPr>
      </w:pPr>
    </w:p>
    <w:p w:rsidR="00A51A62" w:rsidRDefault="00A51A62" w:rsidP="00A51A62">
      <w:pPr>
        <w:spacing w:after="0" w:line="300" w:lineRule="exact"/>
        <w:jc w:val="center"/>
        <w:rPr>
          <w:rFonts w:ascii="Times New Roman" w:hAnsi="Times New Roman"/>
          <w:sz w:val="24"/>
          <w:szCs w:val="24"/>
        </w:rPr>
      </w:pPr>
      <w:r>
        <w:rPr>
          <w:rFonts w:ascii="Times New Roman" w:hAnsi="Times New Roman"/>
          <w:sz w:val="24"/>
          <w:szCs w:val="24"/>
        </w:rPr>
        <w:t>*     *     *</w:t>
      </w:r>
    </w:p>
    <w:p w:rsidR="00A51A62" w:rsidRDefault="00A51A62" w:rsidP="00A51A62">
      <w:pPr>
        <w:spacing w:after="0" w:line="300" w:lineRule="exact"/>
        <w:ind w:firstLine="720"/>
        <w:rPr>
          <w:rFonts w:ascii="Times New Roman" w:hAnsi="Times New Roman"/>
          <w:sz w:val="24"/>
          <w:szCs w:val="24"/>
        </w:rPr>
      </w:pPr>
      <w:r>
        <w:rPr>
          <w:rFonts w:ascii="Times New Roman" w:hAnsi="Times New Roman"/>
          <w:sz w:val="24"/>
          <w:szCs w:val="24"/>
        </w:rPr>
        <w:t xml:space="preserve"> </w:t>
      </w:r>
    </w:p>
    <w:p w:rsidR="00A51A62" w:rsidRDefault="00A51A62" w:rsidP="00A51A62">
      <w:pPr>
        <w:spacing w:after="0" w:line="300" w:lineRule="exact"/>
        <w:ind w:left="720" w:firstLine="720"/>
        <w:rPr>
          <w:rFonts w:ascii="Times New Roman" w:hAnsi="Times New Roman"/>
          <w:sz w:val="24"/>
          <w:szCs w:val="24"/>
        </w:rPr>
      </w:pPr>
      <w:r>
        <w:rPr>
          <w:rFonts w:ascii="Times New Roman" w:hAnsi="Times New Roman"/>
          <w:sz w:val="24"/>
          <w:szCs w:val="24"/>
        </w:rPr>
        <w:t>(a)   Notes for Table 14-602-2.</w:t>
      </w:r>
    </w:p>
    <w:p w:rsidR="00A51A62" w:rsidRDefault="00A51A62" w:rsidP="00A51A62">
      <w:pPr>
        <w:spacing w:after="0" w:line="300" w:lineRule="exact"/>
        <w:ind w:firstLine="720"/>
        <w:rPr>
          <w:rFonts w:ascii="Times New Roman" w:hAnsi="Times New Roman"/>
          <w:sz w:val="24"/>
          <w:szCs w:val="24"/>
        </w:rPr>
      </w:pPr>
    </w:p>
    <w:p w:rsidR="00A51A62" w:rsidRDefault="00A51A62" w:rsidP="00A51A62">
      <w:pPr>
        <w:spacing w:after="0" w:line="300" w:lineRule="exact"/>
        <w:ind w:left="2160"/>
        <w:rPr>
          <w:rFonts w:ascii="Times New Roman" w:hAnsi="Times New Roman"/>
          <w:sz w:val="24"/>
          <w:szCs w:val="24"/>
        </w:rPr>
      </w:pPr>
      <w:r>
        <w:rPr>
          <w:rFonts w:ascii="Times New Roman" w:hAnsi="Times New Roman"/>
          <w:sz w:val="24"/>
          <w:szCs w:val="24"/>
        </w:rPr>
        <w:t xml:space="preserve">[1]   When the proposed use is in an attached or semi-detached building, the household living use regulations of the residential district to which it is attached apply. Otherwise, the residential use regulations of the most restrictive adjacent residential district apply. If there is no adjacent </w:t>
      </w:r>
      <w:r>
        <w:rPr>
          <w:rFonts w:ascii="Times New Roman" w:hAnsi="Times New Roman"/>
          <w:sz w:val="24"/>
          <w:szCs w:val="24"/>
        </w:rPr>
        <w:lastRenderedPageBreak/>
        <w:t xml:space="preserve">residential district, single-family household living shall be permitted and two-family and multi-family household living shall be prohibited.  </w:t>
      </w:r>
      <w:r>
        <w:rPr>
          <w:rFonts w:ascii="Times New Roman" w:hAnsi="Times New Roman"/>
          <w:i/>
          <w:sz w:val="24"/>
          <w:szCs w:val="24"/>
        </w:rPr>
        <w:t xml:space="preserve">  Notwithstanding any of the foregoing, two-family and multi-family household living shall be permitted in the CMX-1 district if the dwelling would otherwise qualify for a housing unit density bonus for mixed-income housing, pursuant to § 14-702(7).  In such instances, the property shall be subject to the housing unit density provisions set forth in Table Note [2], below, as if the property were located in a CMX-2 district, plus any applicable housing density bonus pursuant to § 14-702(7).</w:t>
      </w:r>
    </w:p>
    <w:p w:rsidR="00A51A62" w:rsidRDefault="00A51A62" w:rsidP="00A51A62">
      <w:pPr>
        <w:spacing w:after="0" w:line="300" w:lineRule="exact"/>
        <w:jc w:val="center"/>
        <w:rPr>
          <w:rFonts w:ascii="Times New Roman" w:hAnsi="Times New Roman"/>
          <w:sz w:val="24"/>
          <w:szCs w:val="24"/>
        </w:rPr>
      </w:pPr>
    </w:p>
    <w:p w:rsidR="00A51A62" w:rsidRDefault="00A51A62" w:rsidP="00A51A62">
      <w:pPr>
        <w:spacing w:after="0" w:line="300" w:lineRule="exact"/>
        <w:jc w:val="center"/>
        <w:rPr>
          <w:rFonts w:ascii="Times New Roman" w:hAnsi="Times New Roman"/>
          <w:sz w:val="24"/>
          <w:szCs w:val="24"/>
        </w:rPr>
      </w:pPr>
      <w:r>
        <w:rPr>
          <w:rFonts w:ascii="Times New Roman" w:hAnsi="Times New Roman"/>
          <w:sz w:val="24"/>
          <w:szCs w:val="24"/>
        </w:rPr>
        <w:t>*     *     *</w:t>
      </w:r>
    </w:p>
    <w:p w:rsidR="00A51A62" w:rsidRDefault="00A51A62" w:rsidP="00A51A62">
      <w:pPr>
        <w:spacing w:after="0" w:line="300" w:lineRule="exact"/>
        <w:jc w:val="center"/>
        <w:rPr>
          <w:rFonts w:ascii="Times New Roman" w:hAnsi="Times New Roman"/>
          <w:sz w:val="24"/>
          <w:szCs w:val="24"/>
        </w:rPr>
      </w:pPr>
    </w:p>
    <w:p w:rsidR="00A51A62" w:rsidRDefault="00A51A62" w:rsidP="00A51A62">
      <w:pPr>
        <w:spacing w:after="0" w:line="300" w:lineRule="exact"/>
        <w:jc w:val="center"/>
        <w:rPr>
          <w:rFonts w:ascii="Times New Roman" w:hAnsi="Times New Roman"/>
          <w:sz w:val="24"/>
          <w:szCs w:val="24"/>
        </w:rPr>
      </w:pPr>
      <w:r>
        <w:rPr>
          <w:rFonts w:ascii="Times New Roman" w:hAnsi="Times New Roman"/>
          <w:sz w:val="24"/>
          <w:szCs w:val="24"/>
        </w:rPr>
        <w:t>CHAPTER 14-700.  DEVELOPMENT STANDARDS</w:t>
      </w:r>
    </w:p>
    <w:p w:rsidR="00A51A62" w:rsidRDefault="00A51A62" w:rsidP="00A51A62">
      <w:pPr>
        <w:spacing w:after="0" w:line="300" w:lineRule="exact"/>
        <w:jc w:val="center"/>
        <w:rPr>
          <w:rFonts w:ascii="Times New Roman" w:hAnsi="Times New Roman"/>
          <w:sz w:val="24"/>
          <w:szCs w:val="24"/>
        </w:rPr>
      </w:pPr>
    </w:p>
    <w:p w:rsidR="00A51A62" w:rsidRDefault="00A51A62" w:rsidP="00A51A62">
      <w:pPr>
        <w:spacing w:after="0" w:line="300" w:lineRule="exact"/>
        <w:jc w:val="center"/>
        <w:rPr>
          <w:rFonts w:ascii="Times New Roman" w:hAnsi="Times New Roman"/>
          <w:sz w:val="24"/>
          <w:szCs w:val="24"/>
        </w:rPr>
      </w:pPr>
      <w:r>
        <w:rPr>
          <w:rFonts w:ascii="Times New Roman" w:hAnsi="Times New Roman"/>
          <w:sz w:val="24"/>
          <w:szCs w:val="24"/>
        </w:rPr>
        <w:t>*     *     *</w:t>
      </w:r>
    </w:p>
    <w:p w:rsidR="00A51A62" w:rsidRDefault="00A51A62" w:rsidP="00A51A62">
      <w:pPr>
        <w:spacing w:after="0" w:line="240" w:lineRule="auto"/>
        <w:rPr>
          <w:rFonts w:ascii="Times New Roman" w:hAnsi="Times New Roman"/>
          <w:b/>
          <w:sz w:val="24"/>
          <w:szCs w:val="24"/>
        </w:rPr>
      </w:pPr>
    </w:p>
    <w:p w:rsidR="00A51A62" w:rsidRDefault="00A51A62" w:rsidP="00A51A62">
      <w:pPr>
        <w:spacing w:after="0" w:line="300" w:lineRule="exact"/>
        <w:rPr>
          <w:rFonts w:ascii="Times New Roman" w:hAnsi="Times New Roman"/>
          <w:sz w:val="24"/>
          <w:szCs w:val="24"/>
        </w:rPr>
      </w:pPr>
      <w:r>
        <w:rPr>
          <w:rFonts w:ascii="Times New Roman" w:hAnsi="Times New Roman"/>
          <w:sz w:val="24"/>
          <w:szCs w:val="24"/>
        </w:rPr>
        <w:t xml:space="preserve">§ 14-702.  [Floor Area and Height Bonuses.]  </w:t>
      </w:r>
      <w:r>
        <w:rPr>
          <w:rFonts w:ascii="Times New Roman" w:hAnsi="Times New Roman"/>
          <w:i/>
          <w:sz w:val="24"/>
          <w:szCs w:val="24"/>
        </w:rPr>
        <w:t>Floor Area, Height, and Housing Unit Density Bonuses.</w:t>
      </w:r>
    </w:p>
    <w:p w:rsidR="00A51A62" w:rsidRDefault="00A51A62" w:rsidP="00A51A62">
      <w:pPr>
        <w:spacing w:after="0" w:line="300" w:lineRule="exact"/>
        <w:rPr>
          <w:rFonts w:ascii="Times New Roman" w:hAnsi="Times New Roman"/>
          <w:sz w:val="24"/>
          <w:szCs w:val="24"/>
        </w:rPr>
      </w:pPr>
    </w:p>
    <w:p w:rsidR="00A51A62" w:rsidRDefault="00A51A62" w:rsidP="00A51A62">
      <w:pPr>
        <w:spacing w:after="0" w:line="300" w:lineRule="exact"/>
        <w:jc w:val="center"/>
        <w:rPr>
          <w:rFonts w:ascii="Times New Roman" w:hAnsi="Times New Roman"/>
          <w:sz w:val="24"/>
          <w:szCs w:val="24"/>
        </w:rPr>
      </w:pPr>
      <w:r>
        <w:rPr>
          <w:rFonts w:ascii="Times New Roman" w:hAnsi="Times New Roman"/>
          <w:sz w:val="24"/>
          <w:szCs w:val="24"/>
        </w:rPr>
        <w:t>*     *     *</w:t>
      </w:r>
    </w:p>
    <w:p w:rsidR="00A51A62" w:rsidRDefault="00A51A62" w:rsidP="00A51A62">
      <w:pPr>
        <w:spacing w:after="0" w:line="300" w:lineRule="exact"/>
        <w:rPr>
          <w:rFonts w:ascii="Times New Roman" w:hAnsi="Times New Roman"/>
          <w:sz w:val="24"/>
          <w:szCs w:val="24"/>
        </w:rPr>
      </w:pPr>
    </w:p>
    <w:p w:rsidR="00A51A62" w:rsidRDefault="00A51A62" w:rsidP="00A51A62">
      <w:pPr>
        <w:spacing w:after="0" w:line="300" w:lineRule="exact"/>
        <w:ind w:firstLine="720"/>
        <w:rPr>
          <w:rFonts w:ascii="Times New Roman" w:hAnsi="Times New Roman"/>
          <w:sz w:val="24"/>
          <w:szCs w:val="24"/>
        </w:rPr>
      </w:pPr>
      <w:r>
        <w:rPr>
          <w:rFonts w:ascii="Times New Roman" w:hAnsi="Times New Roman"/>
          <w:sz w:val="24"/>
          <w:szCs w:val="24"/>
        </w:rPr>
        <w:t xml:space="preserve"> (2)   Eligibility for Floor Area Bonuses. </w:t>
      </w:r>
    </w:p>
    <w:p w:rsidR="00A51A62" w:rsidRDefault="00A51A62" w:rsidP="00A51A62">
      <w:pPr>
        <w:spacing w:after="0" w:line="300" w:lineRule="exact"/>
        <w:ind w:left="1440"/>
        <w:rPr>
          <w:rFonts w:ascii="Times New Roman" w:hAnsi="Times New Roman"/>
          <w:sz w:val="24"/>
          <w:szCs w:val="24"/>
        </w:rPr>
      </w:pPr>
    </w:p>
    <w:p w:rsidR="00A51A62" w:rsidRDefault="00A51A62" w:rsidP="00A51A62">
      <w:pPr>
        <w:spacing w:after="0" w:line="300" w:lineRule="exact"/>
        <w:ind w:left="1440"/>
        <w:rPr>
          <w:rFonts w:ascii="Times New Roman" w:hAnsi="Times New Roman"/>
          <w:sz w:val="24"/>
          <w:szCs w:val="24"/>
        </w:rPr>
      </w:pPr>
      <w:r>
        <w:rPr>
          <w:rFonts w:ascii="Times New Roman" w:hAnsi="Times New Roman"/>
          <w:sz w:val="24"/>
          <w:szCs w:val="24"/>
        </w:rPr>
        <w:t>In order to be eligible for any floor area bonuses pursuant to this section:</w:t>
      </w:r>
    </w:p>
    <w:p w:rsidR="00A51A62" w:rsidRDefault="00A51A62" w:rsidP="00A51A62">
      <w:pPr>
        <w:spacing w:after="0" w:line="300" w:lineRule="exact"/>
        <w:ind w:left="1440"/>
        <w:rPr>
          <w:rFonts w:ascii="Times New Roman" w:hAnsi="Times New Roman"/>
          <w:sz w:val="24"/>
          <w:szCs w:val="24"/>
        </w:rPr>
      </w:pPr>
    </w:p>
    <w:p w:rsidR="00A51A62" w:rsidRDefault="00A51A62" w:rsidP="00A51A62">
      <w:pPr>
        <w:spacing w:after="0" w:line="300" w:lineRule="exact"/>
        <w:ind w:left="2160" w:hanging="720"/>
        <w:rPr>
          <w:rFonts w:ascii="Times New Roman" w:hAnsi="Times New Roman"/>
          <w:sz w:val="24"/>
          <w:szCs w:val="24"/>
        </w:rPr>
      </w:pPr>
      <w:r>
        <w:rPr>
          <w:rFonts w:ascii="Times New Roman" w:hAnsi="Times New Roman"/>
          <w:sz w:val="24"/>
          <w:szCs w:val="24"/>
        </w:rPr>
        <w:t xml:space="preserve">(a)   </w:t>
      </w:r>
      <w:r>
        <w:rPr>
          <w:rFonts w:ascii="Times New Roman" w:hAnsi="Times New Roman"/>
          <w:sz w:val="24"/>
          <w:szCs w:val="24"/>
        </w:rPr>
        <w:tab/>
        <w:t xml:space="preserve">The property must be located in the </w:t>
      </w:r>
      <w:r>
        <w:rPr>
          <w:rFonts w:ascii="Times New Roman" w:hAnsi="Times New Roman"/>
          <w:i/>
          <w:sz w:val="24"/>
          <w:szCs w:val="24"/>
        </w:rPr>
        <w:t>RM-2, RM-3,</w:t>
      </w:r>
      <w:r>
        <w:rPr>
          <w:rFonts w:ascii="Times New Roman" w:hAnsi="Times New Roman"/>
          <w:sz w:val="24"/>
          <w:szCs w:val="24"/>
        </w:rPr>
        <w:t xml:space="preserve"> </w:t>
      </w:r>
      <w:r>
        <w:rPr>
          <w:rFonts w:ascii="Times New Roman" w:hAnsi="Times New Roman"/>
          <w:i/>
          <w:sz w:val="24"/>
          <w:szCs w:val="24"/>
        </w:rPr>
        <w:t xml:space="preserve">RM-4, RMX-1, RMX-2, </w:t>
      </w:r>
      <w:r>
        <w:rPr>
          <w:rFonts w:ascii="Times New Roman" w:hAnsi="Times New Roman"/>
          <w:sz w:val="24"/>
          <w:szCs w:val="24"/>
        </w:rPr>
        <w:t xml:space="preserve">RMX-3, </w:t>
      </w:r>
      <w:r>
        <w:rPr>
          <w:rFonts w:ascii="Times New Roman" w:hAnsi="Times New Roman"/>
          <w:i/>
          <w:sz w:val="24"/>
          <w:szCs w:val="24"/>
        </w:rPr>
        <w:t>IRMX,</w:t>
      </w:r>
      <w:r>
        <w:rPr>
          <w:rFonts w:ascii="Times New Roman" w:hAnsi="Times New Roman"/>
          <w:sz w:val="24"/>
          <w:szCs w:val="24"/>
        </w:rPr>
        <w:t xml:space="preserve"> CMX-3, CMX-4, or CMX-5 districts, and property located in those districts shall only be eligible for the bonuses indicated for that district in this § 14-702.</w:t>
      </w:r>
    </w:p>
    <w:p w:rsidR="00A51A62" w:rsidRDefault="00A51A62" w:rsidP="00A51A62">
      <w:pPr>
        <w:spacing w:after="0" w:line="300" w:lineRule="exact"/>
        <w:ind w:left="1440"/>
        <w:rPr>
          <w:rFonts w:ascii="Times New Roman" w:hAnsi="Times New Roman"/>
          <w:sz w:val="24"/>
          <w:szCs w:val="24"/>
        </w:rPr>
      </w:pPr>
    </w:p>
    <w:p w:rsidR="00A51A62" w:rsidRDefault="00A51A62" w:rsidP="00A51A62">
      <w:pPr>
        <w:spacing w:after="0" w:line="300" w:lineRule="exact"/>
        <w:ind w:left="2160" w:hanging="720"/>
        <w:rPr>
          <w:rFonts w:ascii="Times New Roman" w:hAnsi="Times New Roman"/>
          <w:sz w:val="24"/>
          <w:szCs w:val="24"/>
        </w:rPr>
      </w:pPr>
      <w:r>
        <w:rPr>
          <w:rFonts w:ascii="Times New Roman" w:hAnsi="Times New Roman"/>
          <w:sz w:val="24"/>
          <w:szCs w:val="24"/>
        </w:rPr>
        <w:t xml:space="preserve">(b)   </w:t>
      </w:r>
      <w:r>
        <w:rPr>
          <w:rFonts w:ascii="Times New Roman" w:hAnsi="Times New Roman"/>
          <w:sz w:val="24"/>
          <w:szCs w:val="24"/>
        </w:rPr>
        <w:tab/>
        <w:t>If the property is located in the RMX-3, CMX-4, or CMX-5 districts, the property must have frontage on two streets at least 50 ft. wide or three streets at least 20 ft. wide</w:t>
      </w:r>
      <w:r>
        <w:rPr>
          <w:rFonts w:ascii="Times New Roman" w:hAnsi="Times New Roman"/>
          <w:i/>
          <w:sz w:val="24"/>
          <w:szCs w:val="24"/>
        </w:rPr>
        <w:t>, except for bonuses earned pursuant to § 14-702(7) (Mixed Income Housing), for which these street width requirements shall not apply.</w:t>
      </w:r>
    </w:p>
    <w:p w:rsidR="00A51A62" w:rsidRDefault="00A51A62" w:rsidP="00A51A62">
      <w:pPr>
        <w:spacing w:after="0" w:line="300" w:lineRule="exact"/>
        <w:ind w:left="1440"/>
        <w:rPr>
          <w:rFonts w:ascii="Times New Roman" w:hAnsi="Times New Roman"/>
          <w:sz w:val="24"/>
          <w:szCs w:val="24"/>
        </w:rPr>
      </w:pPr>
    </w:p>
    <w:p w:rsidR="00A51A62" w:rsidRDefault="00A51A62" w:rsidP="00A51A62">
      <w:pPr>
        <w:spacing w:after="0" w:line="300" w:lineRule="exact"/>
        <w:ind w:left="2160" w:hanging="720"/>
        <w:rPr>
          <w:rFonts w:ascii="Times New Roman" w:hAnsi="Times New Roman"/>
          <w:sz w:val="24"/>
          <w:szCs w:val="24"/>
        </w:rPr>
      </w:pPr>
      <w:r>
        <w:rPr>
          <w:rFonts w:ascii="Times New Roman" w:hAnsi="Times New Roman"/>
          <w:sz w:val="24"/>
          <w:szCs w:val="24"/>
        </w:rPr>
        <w:t xml:space="preserve">(c)   </w:t>
      </w:r>
      <w:r>
        <w:rPr>
          <w:rFonts w:ascii="Times New Roman" w:hAnsi="Times New Roman"/>
          <w:sz w:val="24"/>
          <w:szCs w:val="24"/>
        </w:rPr>
        <w:tab/>
      </w:r>
      <w:r>
        <w:rPr>
          <w:rFonts w:ascii="Times New Roman" w:hAnsi="Times New Roman"/>
          <w:i/>
          <w:sz w:val="24"/>
          <w:szCs w:val="24"/>
        </w:rPr>
        <w:t>Except for bonuses earned pursuant to § 14-702(7) (Mixed Income Housing), if</w:t>
      </w:r>
      <w:r>
        <w:rPr>
          <w:rFonts w:ascii="Times New Roman" w:hAnsi="Times New Roman"/>
          <w:b/>
          <w:i/>
          <w:sz w:val="24"/>
          <w:szCs w:val="24"/>
        </w:rPr>
        <w:t xml:space="preserve"> </w:t>
      </w:r>
      <w:r>
        <w:rPr>
          <w:rFonts w:ascii="Times New Roman" w:hAnsi="Times New Roman"/>
          <w:sz w:val="24"/>
          <w:szCs w:val="24"/>
        </w:rPr>
        <w:t xml:space="preserve">the property is located in the CMX-3 district, it must be located in: </w:t>
      </w:r>
    </w:p>
    <w:p w:rsidR="00A51A62" w:rsidRDefault="00A51A62" w:rsidP="00A51A62">
      <w:pPr>
        <w:spacing w:after="0" w:line="300" w:lineRule="exact"/>
        <w:rPr>
          <w:rFonts w:ascii="Times New Roman" w:hAnsi="Times New Roman"/>
          <w:sz w:val="24"/>
          <w:szCs w:val="24"/>
        </w:rPr>
      </w:pPr>
    </w:p>
    <w:p w:rsidR="00A51A62" w:rsidRDefault="00A51A62" w:rsidP="00A51A62">
      <w:pPr>
        <w:spacing w:after="0" w:line="300" w:lineRule="exact"/>
        <w:jc w:val="center"/>
        <w:rPr>
          <w:rFonts w:ascii="Times New Roman" w:hAnsi="Times New Roman"/>
          <w:sz w:val="24"/>
          <w:szCs w:val="24"/>
        </w:rPr>
      </w:pPr>
      <w:r>
        <w:rPr>
          <w:rFonts w:ascii="Times New Roman" w:hAnsi="Times New Roman"/>
          <w:sz w:val="24"/>
          <w:szCs w:val="24"/>
        </w:rPr>
        <w:t>*     *     *</w:t>
      </w:r>
    </w:p>
    <w:p w:rsidR="00A51A62" w:rsidRDefault="00A51A62" w:rsidP="00A51A62">
      <w:pPr>
        <w:spacing w:after="0" w:line="300" w:lineRule="exact"/>
        <w:rPr>
          <w:rFonts w:ascii="Times New Roman" w:hAnsi="Times New Roman"/>
          <w:sz w:val="24"/>
          <w:szCs w:val="24"/>
        </w:rPr>
      </w:pPr>
    </w:p>
    <w:p w:rsidR="00A51A62" w:rsidRDefault="00A51A62" w:rsidP="00A51A62">
      <w:pPr>
        <w:spacing w:after="0" w:line="300" w:lineRule="exact"/>
        <w:ind w:firstLine="720"/>
        <w:rPr>
          <w:rFonts w:ascii="Times New Roman" w:hAnsi="Times New Roman"/>
          <w:sz w:val="24"/>
          <w:szCs w:val="24"/>
        </w:rPr>
      </w:pPr>
      <w:r>
        <w:rPr>
          <w:rFonts w:ascii="Times New Roman" w:hAnsi="Times New Roman"/>
          <w:sz w:val="24"/>
          <w:szCs w:val="24"/>
        </w:rPr>
        <w:t>(2.1)   Eligibility for Height Bonuses.</w:t>
      </w:r>
    </w:p>
    <w:p w:rsidR="00A51A62" w:rsidRDefault="00A51A62" w:rsidP="00A51A62">
      <w:pPr>
        <w:spacing w:after="0" w:line="300" w:lineRule="exact"/>
        <w:ind w:firstLine="720"/>
        <w:rPr>
          <w:rFonts w:ascii="Times New Roman" w:hAnsi="Times New Roman"/>
          <w:sz w:val="24"/>
          <w:szCs w:val="24"/>
        </w:rPr>
      </w:pPr>
    </w:p>
    <w:p w:rsidR="00A767FF" w:rsidRDefault="00A51A62" w:rsidP="00A51A62">
      <w:pPr>
        <w:spacing w:line="300" w:lineRule="exact"/>
        <w:ind w:left="1440"/>
        <w:rPr>
          <w:rFonts w:ascii="Times New Roman" w:hAnsi="Times New Roman"/>
          <w:bCs/>
          <w:sz w:val="24"/>
          <w:szCs w:val="24"/>
        </w:rPr>
      </w:pPr>
      <w:r>
        <w:rPr>
          <w:rFonts w:ascii="Times New Roman" w:hAnsi="Times New Roman"/>
          <w:bCs/>
          <w:sz w:val="24"/>
          <w:szCs w:val="24"/>
        </w:rPr>
        <w:t>In order to be eligible for any height bo</w:t>
      </w:r>
      <w:r w:rsidR="00A767FF">
        <w:rPr>
          <w:rFonts w:ascii="Times New Roman" w:hAnsi="Times New Roman"/>
          <w:bCs/>
          <w:sz w:val="24"/>
          <w:szCs w:val="24"/>
        </w:rPr>
        <w:t xml:space="preserve">nuses pursuant to this section, </w:t>
      </w:r>
      <w:r w:rsidRPr="00A767FF">
        <w:rPr>
          <w:rFonts w:ascii="Times New Roman" w:hAnsi="Times New Roman"/>
          <w:bCs/>
          <w:strike/>
          <w:sz w:val="24"/>
          <w:szCs w:val="24"/>
        </w:rPr>
        <w:t>the property must</w:t>
      </w:r>
      <w:r>
        <w:rPr>
          <w:rFonts w:ascii="Times New Roman" w:hAnsi="Times New Roman"/>
          <w:bCs/>
          <w:sz w:val="24"/>
          <w:szCs w:val="24"/>
        </w:rPr>
        <w:t xml:space="preserve"> </w:t>
      </w:r>
      <w:r w:rsidR="00A767FF">
        <w:rPr>
          <w:rFonts w:ascii="Times New Roman" w:hAnsi="Times New Roman"/>
          <w:b/>
          <w:bCs/>
          <w:sz w:val="24"/>
          <w:szCs w:val="24"/>
        </w:rPr>
        <w:t>[the property must]</w:t>
      </w:r>
    </w:p>
    <w:p w:rsidR="00A767FF" w:rsidRPr="00A767FF" w:rsidRDefault="00A767FF" w:rsidP="00A767FF">
      <w:pPr>
        <w:spacing w:line="300" w:lineRule="exact"/>
        <w:ind w:left="2160" w:hanging="720"/>
        <w:rPr>
          <w:rFonts w:ascii="Times New Roman" w:hAnsi="Times New Roman"/>
          <w:b/>
          <w:bCs/>
          <w:i/>
          <w:sz w:val="24"/>
          <w:szCs w:val="24"/>
        </w:rPr>
      </w:pPr>
      <w:r w:rsidRPr="00A767FF">
        <w:rPr>
          <w:rFonts w:ascii="Times New Roman" w:hAnsi="Times New Roman"/>
          <w:b/>
          <w:bCs/>
          <w:i/>
          <w:sz w:val="24"/>
          <w:szCs w:val="24"/>
        </w:rPr>
        <w:t>(a)</w:t>
      </w:r>
      <w:r w:rsidRPr="00A767FF">
        <w:rPr>
          <w:rFonts w:ascii="Times New Roman" w:hAnsi="Times New Roman"/>
          <w:b/>
          <w:bCs/>
          <w:i/>
          <w:sz w:val="24"/>
          <w:szCs w:val="24"/>
        </w:rPr>
        <w:tab/>
        <w:t>The property must be located in the /ECO overlay district and be subject to the height restrictions of § 14-519(4)(b);</w:t>
      </w:r>
    </w:p>
    <w:p w:rsidR="00A767FF" w:rsidRPr="00A767FF" w:rsidRDefault="00A767FF" w:rsidP="00A767FF">
      <w:pPr>
        <w:spacing w:line="300" w:lineRule="exact"/>
        <w:ind w:left="2160" w:hanging="720"/>
        <w:rPr>
          <w:rFonts w:ascii="Times New Roman" w:hAnsi="Times New Roman"/>
          <w:b/>
          <w:bCs/>
          <w:i/>
          <w:sz w:val="24"/>
          <w:szCs w:val="24"/>
        </w:rPr>
      </w:pPr>
      <w:r w:rsidRPr="00A767FF">
        <w:rPr>
          <w:rFonts w:ascii="Times New Roman" w:hAnsi="Times New Roman"/>
          <w:b/>
          <w:bCs/>
          <w:i/>
          <w:sz w:val="24"/>
          <w:szCs w:val="24"/>
        </w:rPr>
        <w:t>(b)</w:t>
      </w:r>
      <w:r w:rsidRPr="00A767FF">
        <w:rPr>
          <w:rFonts w:ascii="Times New Roman" w:hAnsi="Times New Roman"/>
          <w:b/>
          <w:bCs/>
          <w:i/>
          <w:sz w:val="24"/>
          <w:szCs w:val="24"/>
        </w:rPr>
        <w:tab/>
        <w:t>The property must be located in the /CDO overlay district and be subject to the height restrictions of § 14-507(6)(b); or</w:t>
      </w:r>
    </w:p>
    <w:p w:rsidR="00454F8D" w:rsidRDefault="00A767FF" w:rsidP="00454F8D">
      <w:pPr>
        <w:spacing w:line="300" w:lineRule="exact"/>
        <w:ind w:left="2160" w:hanging="720"/>
        <w:rPr>
          <w:rFonts w:ascii="Times New Roman" w:hAnsi="Times New Roman"/>
          <w:bCs/>
          <w:sz w:val="24"/>
          <w:szCs w:val="24"/>
        </w:rPr>
      </w:pPr>
      <w:r w:rsidRPr="00A767FF">
        <w:rPr>
          <w:rFonts w:ascii="Times New Roman" w:hAnsi="Times New Roman"/>
          <w:b/>
          <w:bCs/>
          <w:i/>
          <w:sz w:val="24"/>
          <w:szCs w:val="24"/>
        </w:rPr>
        <w:t>(c)</w:t>
      </w:r>
      <w:r w:rsidRPr="00A767FF">
        <w:rPr>
          <w:rFonts w:ascii="Times New Roman" w:hAnsi="Times New Roman"/>
          <w:b/>
          <w:bCs/>
          <w:i/>
          <w:sz w:val="24"/>
          <w:szCs w:val="24"/>
        </w:rPr>
        <w:tab/>
      </w:r>
      <w:r w:rsidR="00454F8D">
        <w:rPr>
          <w:rFonts w:ascii="Times New Roman" w:hAnsi="Times New Roman"/>
          <w:b/>
          <w:bCs/>
          <w:i/>
          <w:sz w:val="24"/>
          <w:szCs w:val="24"/>
        </w:rPr>
        <w:t>T</w:t>
      </w:r>
      <w:r w:rsidRPr="00A767FF">
        <w:rPr>
          <w:rFonts w:ascii="Times New Roman" w:hAnsi="Times New Roman"/>
          <w:b/>
          <w:bCs/>
          <w:i/>
          <w:sz w:val="24"/>
          <w:szCs w:val="24"/>
        </w:rPr>
        <w:t xml:space="preserve">he development project must result in the construction of at least </w:t>
      </w:r>
      <w:r w:rsidR="00255464">
        <w:rPr>
          <w:rFonts w:ascii="Times New Roman" w:hAnsi="Times New Roman"/>
          <w:b/>
          <w:bCs/>
          <w:i/>
          <w:sz w:val="24"/>
          <w:szCs w:val="24"/>
        </w:rPr>
        <w:t>three</w:t>
      </w:r>
      <w:r w:rsidRPr="00A767FF">
        <w:rPr>
          <w:rFonts w:ascii="Times New Roman" w:hAnsi="Times New Roman"/>
          <w:b/>
          <w:bCs/>
          <w:i/>
          <w:sz w:val="24"/>
          <w:szCs w:val="24"/>
        </w:rPr>
        <w:t xml:space="preserve"> residential dwelling units and</w:t>
      </w:r>
      <w:r w:rsidR="00454F8D">
        <w:rPr>
          <w:rFonts w:ascii="Times New Roman" w:hAnsi="Times New Roman"/>
          <w:b/>
          <w:bCs/>
          <w:i/>
          <w:sz w:val="24"/>
          <w:szCs w:val="24"/>
        </w:rPr>
        <w:t xml:space="preserve"> </w:t>
      </w:r>
      <w:r w:rsidR="00A51A62">
        <w:rPr>
          <w:rFonts w:ascii="Times New Roman" w:hAnsi="Times New Roman"/>
          <w:bCs/>
          <w:sz w:val="24"/>
          <w:szCs w:val="24"/>
        </w:rPr>
        <w:t>be located</w:t>
      </w:r>
    </w:p>
    <w:p w:rsidR="00127C3D" w:rsidRDefault="00454F8D" w:rsidP="00454F8D">
      <w:pPr>
        <w:spacing w:line="300" w:lineRule="exact"/>
        <w:ind w:left="2160" w:hanging="720"/>
        <w:rPr>
          <w:rFonts w:ascii="Times New Roman" w:hAnsi="Times New Roman"/>
          <w:bCs/>
          <w:i/>
          <w:iCs/>
          <w:sz w:val="24"/>
          <w:szCs w:val="24"/>
        </w:rPr>
      </w:pPr>
      <w:r>
        <w:rPr>
          <w:rFonts w:ascii="Times New Roman" w:hAnsi="Times New Roman"/>
          <w:bCs/>
          <w:sz w:val="24"/>
          <w:szCs w:val="24"/>
        </w:rPr>
        <w:tab/>
      </w:r>
      <w:r>
        <w:rPr>
          <w:rFonts w:ascii="Times New Roman" w:hAnsi="Times New Roman"/>
          <w:b/>
          <w:bCs/>
          <w:i/>
          <w:sz w:val="24"/>
          <w:szCs w:val="24"/>
        </w:rPr>
        <w:t>(.1)</w:t>
      </w:r>
      <w:r w:rsidR="00A51A62">
        <w:rPr>
          <w:rFonts w:ascii="Times New Roman" w:hAnsi="Times New Roman"/>
          <w:bCs/>
          <w:sz w:val="24"/>
          <w:szCs w:val="24"/>
        </w:rPr>
        <w:t xml:space="preserve"> in </w:t>
      </w:r>
      <w:r w:rsidR="00A51A62">
        <w:rPr>
          <w:rFonts w:ascii="Times New Roman" w:hAnsi="Times New Roman"/>
          <w:bCs/>
          <w:i/>
          <w:iCs/>
          <w:sz w:val="24"/>
          <w:szCs w:val="24"/>
        </w:rPr>
        <w:t xml:space="preserve">an RM-1, CMX-2, or CMX-2.5 zoning district; or </w:t>
      </w:r>
    </w:p>
    <w:p w:rsidR="00A51A62" w:rsidRPr="008E18ED" w:rsidRDefault="00127C3D" w:rsidP="00454F8D">
      <w:pPr>
        <w:spacing w:line="300" w:lineRule="exact"/>
        <w:ind w:left="2160" w:hanging="720"/>
        <w:rPr>
          <w:rFonts w:ascii="Times New Roman" w:hAnsi="Times New Roman"/>
          <w:b/>
          <w:bCs/>
          <w:i/>
          <w:iCs/>
          <w:sz w:val="24"/>
          <w:szCs w:val="24"/>
        </w:rPr>
      </w:pPr>
      <w:r>
        <w:rPr>
          <w:rFonts w:ascii="Times New Roman" w:hAnsi="Times New Roman"/>
          <w:bCs/>
          <w:i/>
          <w:iCs/>
          <w:sz w:val="24"/>
          <w:szCs w:val="24"/>
        </w:rPr>
        <w:tab/>
      </w:r>
      <w:r>
        <w:rPr>
          <w:rFonts w:ascii="Times New Roman" w:hAnsi="Times New Roman"/>
          <w:b/>
          <w:bCs/>
          <w:i/>
          <w:iCs/>
          <w:sz w:val="24"/>
          <w:szCs w:val="24"/>
        </w:rPr>
        <w:t xml:space="preserve">(.2) </w:t>
      </w:r>
      <w:r w:rsidR="00A51A62">
        <w:rPr>
          <w:rFonts w:ascii="Times New Roman" w:hAnsi="Times New Roman"/>
          <w:bCs/>
          <w:i/>
          <w:iCs/>
          <w:sz w:val="24"/>
          <w:szCs w:val="24"/>
        </w:rPr>
        <w:t xml:space="preserve">in a CMX-1 zoning district and be subject to a base height limit of 38 feet or </w:t>
      </w:r>
      <w:r w:rsidR="00A51A62" w:rsidRPr="00127C3D">
        <w:rPr>
          <w:rFonts w:ascii="Times New Roman" w:hAnsi="Times New Roman"/>
          <w:bCs/>
          <w:i/>
          <w:iCs/>
          <w:strike/>
          <w:sz w:val="24"/>
          <w:szCs w:val="24"/>
        </w:rPr>
        <w:t xml:space="preserve">less; or in </w:t>
      </w:r>
      <w:r w:rsidR="00A51A62" w:rsidRPr="00127C3D">
        <w:rPr>
          <w:rFonts w:ascii="Times New Roman" w:hAnsi="Times New Roman"/>
          <w:bCs/>
          <w:strike/>
          <w:sz w:val="24"/>
          <w:szCs w:val="24"/>
        </w:rPr>
        <w:t xml:space="preserve">the /CDO overlay district and [must] be subject to the height restrictions of [§ 14-507(6)(b)] </w:t>
      </w:r>
      <w:r w:rsidR="00A51A62" w:rsidRPr="00127C3D">
        <w:rPr>
          <w:rFonts w:ascii="Times New Roman" w:hAnsi="Times New Roman"/>
          <w:bCs/>
          <w:i/>
          <w:iCs/>
          <w:strike/>
          <w:sz w:val="24"/>
          <w:szCs w:val="24"/>
        </w:rPr>
        <w:t>§ 14-507(6)(b);</w:t>
      </w:r>
      <w:r w:rsidR="00A51A62" w:rsidRPr="00127C3D">
        <w:rPr>
          <w:rFonts w:ascii="Times New Roman" w:hAnsi="Times New Roman"/>
          <w:bCs/>
          <w:strike/>
          <w:sz w:val="24"/>
          <w:szCs w:val="24"/>
        </w:rPr>
        <w:t xml:space="preserve"> or [the property must be located] in the /ECO overlay district and [must] be subject to the height restrictions of § 14-519(4)(b).</w:t>
      </w:r>
      <w:r w:rsidR="00A51A62">
        <w:rPr>
          <w:rFonts w:ascii="Times New Roman" w:hAnsi="Times New Roman"/>
          <w:bCs/>
          <w:sz w:val="24"/>
          <w:szCs w:val="24"/>
        </w:rPr>
        <w:t xml:space="preserve">  </w:t>
      </w:r>
      <w:r w:rsidR="008D61AB" w:rsidRPr="008D61AB">
        <w:rPr>
          <w:rFonts w:ascii="Times New Roman" w:hAnsi="Times New Roman"/>
          <w:b/>
          <w:bCs/>
          <w:sz w:val="24"/>
          <w:szCs w:val="24"/>
        </w:rPr>
        <w:t>[the /CDO overlay district and must be subject to the height restrictions of § 14-507(6)(b) or the property must be located in the /ECO overlay district and must be subject to the height restrictions of § 14-519(4)(b).</w:t>
      </w:r>
      <w:r w:rsidR="008D61AB">
        <w:rPr>
          <w:rFonts w:ascii="Times New Roman" w:hAnsi="Times New Roman"/>
          <w:b/>
          <w:bCs/>
          <w:sz w:val="24"/>
          <w:szCs w:val="24"/>
        </w:rPr>
        <w:t>]</w:t>
      </w:r>
      <w:r w:rsidR="008E18ED">
        <w:rPr>
          <w:rFonts w:ascii="Times New Roman" w:hAnsi="Times New Roman"/>
          <w:b/>
          <w:bCs/>
          <w:sz w:val="24"/>
          <w:szCs w:val="24"/>
        </w:rPr>
        <w:t xml:space="preserve"> </w:t>
      </w:r>
      <w:r w:rsidR="008E18ED">
        <w:rPr>
          <w:rFonts w:ascii="Times New Roman" w:hAnsi="Times New Roman"/>
          <w:b/>
          <w:bCs/>
          <w:i/>
          <w:sz w:val="24"/>
          <w:szCs w:val="24"/>
        </w:rPr>
        <w:t>less.</w:t>
      </w:r>
    </w:p>
    <w:p w:rsidR="00A51A62" w:rsidRDefault="00A51A62" w:rsidP="00A51A62">
      <w:pPr>
        <w:spacing w:after="0" w:line="300" w:lineRule="exact"/>
        <w:ind w:firstLine="720"/>
        <w:rPr>
          <w:rFonts w:ascii="Times New Roman" w:hAnsi="Times New Roman"/>
          <w:i/>
          <w:sz w:val="24"/>
          <w:szCs w:val="24"/>
        </w:rPr>
      </w:pPr>
      <w:r>
        <w:rPr>
          <w:rFonts w:ascii="Times New Roman" w:hAnsi="Times New Roman"/>
          <w:i/>
          <w:sz w:val="24"/>
          <w:szCs w:val="24"/>
        </w:rPr>
        <w:t xml:space="preserve"> (2.2)   Eligibility for Housing Unit Density Bonuses.</w:t>
      </w:r>
    </w:p>
    <w:p w:rsidR="00A51A62" w:rsidRDefault="00A51A62" w:rsidP="00A51A62">
      <w:pPr>
        <w:spacing w:after="0" w:line="300" w:lineRule="exact"/>
        <w:ind w:left="720"/>
        <w:rPr>
          <w:rFonts w:ascii="Times New Roman" w:hAnsi="Times New Roman"/>
          <w:i/>
          <w:sz w:val="24"/>
          <w:szCs w:val="24"/>
        </w:rPr>
      </w:pPr>
    </w:p>
    <w:p w:rsidR="00A51A62" w:rsidRDefault="00A51A62" w:rsidP="00A51A62">
      <w:pPr>
        <w:spacing w:after="0" w:line="300" w:lineRule="exact"/>
        <w:ind w:left="1440"/>
        <w:rPr>
          <w:rFonts w:ascii="Times New Roman" w:hAnsi="Times New Roman"/>
          <w:i/>
          <w:sz w:val="24"/>
          <w:szCs w:val="24"/>
        </w:rPr>
      </w:pPr>
      <w:r>
        <w:rPr>
          <w:rFonts w:ascii="Times New Roman" w:hAnsi="Times New Roman"/>
          <w:i/>
          <w:sz w:val="24"/>
          <w:szCs w:val="24"/>
        </w:rPr>
        <w:t xml:space="preserve">In order to be eligible for any housing unit density bonuses pursuant to this section, the property must be in an RM-1, CMX-1, CMX-2, or CMX-2.5 zoning district.  </w:t>
      </w:r>
    </w:p>
    <w:p w:rsidR="00A51A62" w:rsidRDefault="00A51A62" w:rsidP="00A51A62">
      <w:pPr>
        <w:spacing w:after="0" w:line="300" w:lineRule="exact"/>
        <w:rPr>
          <w:rFonts w:ascii="Times New Roman" w:hAnsi="Times New Roman"/>
          <w:sz w:val="24"/>
          <w:szCs w:val="24"/>
        </w:rPr>
      </w:pPr>
    </w:p>
    <w:p w:rsidR="00A51A62" w:rsidRDefault="00A51A62" w:rsidP="00A51A62">
      <w:pPr>
        <w:spacing w:after="0" w:line="300" w:lineRule="exact"/>
        <w:rPr>
          <w:rFonts w:ascii="Times New Roman" w:hAnsi="Times New Roman"/>
          <w:sz w:val="24"/>
          <w:szCs w:val="24"/>
        </w:rPr>
      </w:pPr>
    </w:p>
    <w:p w:rsidR="00A51A62" w:rsidRDefault="00A51A62" w:rsidP="00A51A62">
      <w:pPr>
        <w:spacing w:after="0" w:line="300" w:lineRule="exact"/>
        <w:ind w:firstLine="720"/>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Floor Area Bonus Options Summary Table</w:t>
      </w:r>
    </w:p>
    <w:p w:rsidR="00A51A62" w:rsidRDefault="00A51A62" w:rsidP="00A51A62">
      <w:pPr>
        <w:spacing w:after="0" w:line="300" w:lineRule="exact"/>
        <w:ind w:firstLine="720"/>
        <w:rPr>
          <w:rFonts w:ascii="Times New Roman" w:hAnsi="Times New Roman"/>
          <w:sz w:val="24"/>
          <w:szCs w:val="24"/>
        </w:rPr>
      </w:pPr>
    </w:p>
    <w:p w:rsidR="00A51A62" w:rsidRDefault="00A51A62" w:rsidP="00A51A62">
      <w:pPr>
        <w:spacing w:after="0" w:line="300" w:lineRule="exact"/>
        <w:ind w:left="1440"/>
        <w:rPr>
          <w:rFonts w:ascii="Times New Roman" w:hAnsi="Times New Roman"/>
          <w:sz w:val="24"/>
          <w:szCs w:val="24"/>
        </w:rPr>
      </w:pPr>
      <w:r>
        <w:rPr>
          <w:rFonts w:ascii="Times New Roman" w:hAnsi="Times New Roman"/>
          <w:sz w:val="24"/>
          <w:szCs w:val="24"/>
        </w:rPr>
        <w:t>The following table summarizes the floor area bonus options in this section. In the event of conflict between the provisions of Table 14-702-1 and the text of this Zoning Code, the text shall govern.</w:t>
      </w:r>
    </w:p>
    <w:p w:rsidR="00A51A62" w:rsidRDefault="00A51A62" w:rsidP="00A51A62">
      <w:pPr>
        <w:spacing w:after="0" w:line="300" w:lineRule="exact"/>
        <w:ind w:firstLine="720"/>
        <w:rPr>
          <w:rFonts w:ascii="Times New Roman" w:hAnsi="Times New Roman"/>
          <w:sz w:val="24"/>
          <w:szCs w:val="24"/>
        </w:rPr>
      </w:pPr>
    </w:p>
    <w:p w:rsidR="00A51A62" w:rsidRDefault="00A51A62" w:rsidP="00A51A62">
      <w:pPr>
        <w:spacing w:after="0" w:line="300" w:lineRule="exact"/>
        <w:ind w:firstLine="720"/>
        <w:rPr>
          <w:rFonts w:ascii="Times New Roman" w:hAnsi="Times New Roman"/>
          <w:sz w:val="24"/>
          <w:szCs w:val="24"/>
        </w:rPr>
      </w:pPr>
      <w:r>
        <w:rPr>
          <w:rFonts w:ascii="Times New Roman" w:hAnsi="Times New Roman"/>
          <w:sz w:val="24"/>
          <w:szCs w:val="24"/>
        </w:rPr>
        <w:t>Table 14-702-1: Floor Area Bonus Summary</w:t>
      </w:r>
    </w:p>
    <w:tbl>
      <w:tblPr>
        <w:tblW w:w="9920" w:type="dxa"/>
        <w:tblLook w:val="04A0" w:firstRow="1" w:lastRow="0" w:firstColumn="1" w:lastColumn="0" w:noHBand="0" w:noVBand="1"/>
      </w:tblPr>
      <w:tblGrid>
        <w:gridCol w:w="920"/>
        <w:gridCol w:w="933"/>
        <w:gridCol w:w="745"/>
        <w:gridCol w:w="760"/>
        <w:gridCol w:w="1068"/>
        <w:gridCol w:w="763"/>
        <w:gridCol w:w="763"/>
        <w:gridCol w:w="772"/>
        <w:gridCol w:w="896"/>
        <w:gridCol w:w="772"/>
        <w:gridCol w:w="764"/>
        <w:gridCol w:w="764"/>
      </w:tblGrid>
      <w:tr w:rsidR="00A51A62" w:rsidTr="003C3157">
        <w:trPr>
          <w:trHeight w:val="288"/>
        </w:trPr>
        <w:tc>
          <w:tcPr>
            <w:tcW w:w="1865" w:type="dxa"/>
            <w:gridSpan w:val="2"/>
            <w:vMerge w:val="restart"/>
            <w:tcBorders>
              <w:top w:val="single" w:sz="8" w:space="0" w:color="000000"/>
              <w:left w:val="single" w:sz="8" w:space="0" w:color="000000"/>
              <w:bottom w:val="single" w:sz="8" w:space="0" w:color="000000"/>
              <w:right w:val="single" w:sz="8" w:space="0" w:color="000000"/>
            </w:tcBorders>
            <w:shd w:val="clear" w:color="auto" w:fill="CCCCCC"/>
            <w:vAlign w:val="center"/>
            <w:hideMark/>
          </w:tcPr>
          <w:p w:rsidR="00A51A62" w:rsidRDefault="00A51A62" w:rsidP="003C3157">
            <w:pPr>
              <w:spacing w:after="0" w:line="240" w:lineRule="auto"/>
              <w:rPr>
                <w:rFonts w:ascii="Times New Roman" w:hAnsi="Times New Roman"/>
                <w:color w:val="000000"/>
                <w:sz w:val="18"/>
                <w:szCs w:val="18"/>
              </w:rPr>
            </w:pPr>
            <w:r>
              <w:rPr>
                <w:rFonts w:ascii="Times New Roman" w:hAnsi="Times New Roman"/>
                <w:bCs/>
                <w:color w:val="000000"/>
                <w:sz w:val="18"/>
                <w:szCs w:val="18"/>
              </w:rPr>
              <w:t>Bonus Category</w:t>
            </w:r>
          </w:p>
        </w:tc>
        <w:tc>
          <w:tcPr>
            <w:tcW w:w="8055" w:type="dxa"/>
            <w:gridSpan w:val="10"/>
            <w:tcBorders>
              <w:top w:val="single" w:sz="8" w:space="0" w:color="000000"/>
              <w:left w:val="nil"/>
              <w:bottom w:val="nil"/>
              <w:right w:val="single" w:sz="8" w:space="0" w:color="000000"/>
            </w:tcBorders>
            <w:shd w:val="clear" w:color="auto" w:fill="CCCCCC"/>
            <w:vAlign w:val="center"/>
            <w:hideMark/>
          </w:tcPr>
          <w:p w:rsidR="00A51A62" w:rsidRDefault="00A51A62" w:rsidP="003C3157">
            <w:pPr>
              <w:spacing w:after="0" w:line="240" w:lineRule="auto"/>
              <w:jc w:val="center"/>
              <w:rPr>
                <w:rFonts w:ascii="Times New Roman" w:hAnsi="Times New Roman"/>
                <w:color w:val="000000"/>
                <w:sz w:val="18"/>
                <w:szCs w:val="18"/>
              </w:rPr>
            </w:pPr>
            <w:r>
              <w:rPr>
                <w:rFonts w:ascii="Times New Roman" w:hAnsi="Times New Roman"/>
                <w:bCs/>
                <w:color w:val="000000"/>
                <w:sz w:val="18"/>
                <w:szCs w:val="18"/>
              </w:rPr>
              <w:t>Additional Gross Floor Area, as Percent of Lot Area</w:t>
            </w:r>
          </w:p>
        </w:tc>
      </w:tr>
      <w:tr w:rsidR="00A51A62" w:rsidTr="003C3157">
        <w:trPr>
          <w:trHeight w:val="720"/>
        </w:trPr>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A51A62" w:rsidRDefault="00A51A62" w:rsidP="003C3157">
            <w:pPr>
              <w:spacing w:after="0" w:line="240" w:lineRule="auto"/>
              <w:rPr>
                <w:rFonts w:ascii="Times New Roman" w:hAnsi="Times New Roman"/>
                <w:color w:val="000000"/>
                <w:sz w:val="18"/>
                <w:szCs w:val="18"/>
              </w:rPr>
            </w:pPr>
          </w:p>
        </w:tc>
        <w:tc>
          <w:tcPr>
            <w:tcW w:w="8055" w:type="dxa"/>
            <w:gridSpan w:val="10"/>
            <w:tcBorders>
              <w:top w:val="nil"/>
              <w:left w:val="nil"/>
              <w:bottom w:val="nil"/>
              <w:right w:val="single" w:sz="8" w:space="0" w:color="000000"/>
            </w:tcBorders>
            <w:shd w:val="clear" w:color="auto" w:fill="CCCCCC"/>
            <w:vAlign w:val="center"/>
            <w:hideMark/>
          </w:tcPr>
          <w:p w:rsidR="00A51A62" w:rsidRDefault="00A51A62" w:rsidP="003C3157">
            <w:pPr>
              <w:spacing w:after="0" w:line="240" w:lineRule="auto"/>
              <w:jc w:val="center"/>
              <w:rPr>
                <w:rFonts w:ascii="Times New Roman" w:hAnsi="Times New Roman"/>
                <w:color w:val="000000"/>
                <w:sz w:val="18"/>
                <w:szCs w:val="18"/>
              </w:rPr>
            </w:pPr>
            <w:r>
              <w:rPr>
                <w:rFonts w:ascii="Times New Roman" w:hAnsi="Times New Roman"/>
                <w:color w:val="000000"/>
                <w:sz w:val="18"/>
                <w:szCs w:val="18"/>
              </w:rPr>
              <w:t>(see § 14-701(2) (Residential District Dimensional Tables) and § 14-701(3) (Commercial Districts Dimensional Table) for the maximum allowed base floor area ratios for each district.)</w:t>
            </w:r>
          </w:p>
        </w:tc>
      </w:tr>
      <w:tr w:rsidR="00A51A62" w:rsidTr="003C3157">
        <w:trPr>
          <w:trHeight w:val="288"/>
        </w:trPr>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A51A62" w:rsidRDefault="00A51A62" w:rsidP="003C3157">
            <w:pPr>
              <w:spacing w:after="0" w:line="240" w:lineRule="auto"/>
              <w:rPr>
                <w:rFonts w:ascii="Times New Roman" w:hAnsi="Times New Roman"/>
                <w:color w:val="000000"/>
                <w:sz w:val="18"/>
                <w:szCs w:val="18"/>
              </w:rPr>
            </w:pPr>
          </w:p>
        </w:tc>
        <w:tc>
          <w:tcPr>
            <w:tcW w:w="760" w:type="dxa"/>
            <w:vMerge w:val="restart"/>
            <w:tcBorders>
              <w:top w:val="single" w:sz="8" w:space="0" w:color="000000"/>
              <w:left w:val="single" w:sz="8" w:space="0" w:color="000000"/>
              <w:bottom w:val="single" w:sz="8" w:space="0" w:color="000000"/>
              <w:right w:val="single" w:sz="8" w:space="0" w:color="000000"/>
            </w:tcBorders>
            <w:shd w:val="clear" w:color="auto" w:fill="CCCCCC"/>
            <w:vAlign w:val="center"/>
            <w:hideMark/>
          </w:tcPr>
          <w:p w:rsidR="00A51A62" w:rsidRDefault="00A51A62" w:rsidP="003C3157">
            <w:pPr>
              <w:spacing w:after="0" w:line="240" w:lineRule="auto"/>
              <w:jc w:val="center"/>
              <w:rPr>
                <w:rFonts w:ascii="Times New Roman" w:hAnsi="Times New Roman"/>
                <w:bCs/>
                <w:i/>
                <w:iCs/>
                <w:color w:val="000000"/>
                <w:sz w:val="18"/>
                <w:szCs w:val="18"/>
              </w:rPr>
            </w:pPr>
            <w:r>
              <w:rPr>
                <w:rFonts w:ascii="Times New Roman" w:hAnsi="Times New Roman"/>
                <w:bCs/>
                <w:i/>
                <w:iCs/>
                <w:color w:val="000000"/>
                <w:sz w:val="18"/>
                <w:szCs w:val="18"/>
              </w:rPr>
              <w:t>RM-2</w:t>
            </w:r>
          </w:p>
        </w:tc>
        <w:tc>
          <w:tcPr>
            <w:tcW w:w="770" w:type="dxa"/>
            <w:vMerge w:val="restart"/>
            <w:tcBorders>
              <w:top w:val="single" w:sz="8" w:space="0" w:color="000000"/>
              <w:left w:val="single" w:sz="8" w:space="0" w:color="000000"/>
              <w:bottom w:val="single" w:sz="8" w:space="0" w:color="000000"/>
              <w:right w:val="single" w:sz="8" w:space="0" w:color="000000"/>
            </w:tcBorders>
            <w:shd w:val="clear" w:color="auto" w:fill="CCCCCC"/>
            <w:vAlign w:val="center"/>
            <w:hideMark/>
          </w:tcPr>
          <w:p w:rsidR="00A51A62" w:rsidRDefault="00A51A62" w:rsidP="003C3157">
            <w:pPr>
              <w:spacing w:after="0" w:line="240" w:lineRule="auto"/>
              <w:jc w:val="center"/>
              <w:rPr>
                <w:rFonts w:ascii="Times New Roman" w:hAnsi="Times New Roman"/>
                <w:bCs/>
                <w:i/>
                <w:iCs/>
                <w:color w:val="000000"/>
                <w:sz w:val="18"/>
                <w:szCs w:val="18"/>
              </w:rPr>
            </w:pPr>
            <w:r>
              <w:rPr>
                <w:rFonts w:ascii="Times New Roman" w:hAnsi="Times New Roman"/>
                <w:bCs/>
                <w:i/>
                <w:iCs/>
                <w:color w:val="000000"/>
                <w:sz w:val="18"/>
                <w:szCs w:val="18"/>
              </w:rPr>
              <w:t>RM-3,     RMX-1</w:t>
            </w:r>
          </w:p>
        </w:tc>
        <w:tc>
          <w:tcPr>
            <w:tcW w:w="1103" w:type="dxa"/>
            <w:vMerge w:val="restart"/>
            <w:tcBorders>
              <w:top w:val="single" w:sz="8" w:space="0" w:color="000000"/>
              <w:left w:val="single" w:sz="8" w:space="0" w:color="000000"/>
              <w:bottom w:val="single" w:sz="8" w:space="0" w:color="000000"/>
              <w:right w:val="single" w:sz="8" w:space="0" w:color="000000"/>
            </w:tcBorders>
            <w:shd w:val="clear" w:color="auto" w:fill="CCCCCC"/>
            <w:vAlign w:val="center"/>
            <w:hideMark/>
          </w:tcPr>
          <w:p w:rsidR="00A51A62" w:rsidRDefault="00A51A62" w:rsidP="003C3157">
            <w:pPr>
              <w:spacing w:after="0" w:line="240" w:lineRule="auto"/>
              <w:jc w:val="center"/>
              <w:rPr>
                <w:rFonts w:ascii="Times New Roman" w:hAnsi="Times New Roman"/>
                <w:i/>
                <w:iCs/>
                <w:color w:val="000000"/>
                <w:sz w:val="18"/>
                <w:szCs w:val="18"/>
              </w:rPr>
            </w:pPr>
            <w:r>
              <w:rPr>
                <w:rFonts w:ascii="Times New Roman" w:hAnsi="Times New Roman"/>
                <w:i/>
                <w:iCs/>
                <w:color w:val="000000"/>
                <w:sz w:val="18"/>
                <w:szCs w:val="18"/>
              </w:rPr>
              <w:t>RM-4</w:t>
            </w:r>
          </w:p>
        </w:tc>
        <w:tc>
          <w:tcPr>
            <w:tcW w:w="770" w:type="dxa"/>
            <w:vMerge w:val="restart"/>
            <w:tcBorders>
              <w:top w:val="single" w:sz="8" w:space="0" w:color="000000"/>
              <w:left w:val="single" w:sz="8" w:space="0" w:color="000000"/>
              <w:bottom w:val="single" w:sz="8" w:space="0" w:color="000000"/>
              <w:right w:val="single" w:sz="8" w:space="0" w:color="000000"/>
            </w:tcBorders>
            <w:shd w:val="clear" w:color="auto" w:fill="CCCCCC"/>
            <w:vAlign w:val="center"/>
            <w:hideMark/>
          </w:tcPr>
          <w:p w:rsidR="00A51A62" w:rsidRDefault="00A51A62" w:rsidP="003C3157">
            <w:pPr>
              <w:spacing w:after="0" w:line="240" w:lineRule="auto"/>
              <w:jc w:val="center"/>
              <w:rPr>
                <w:rFonts w:ascii="Times New Roman" w:hAnsi="Times New Roman"/>
                <w:i/>
                <w:iCs/>
                <w:color w:val="000000"/>
                <w:sz w:val="18"/>
                <w:szCs w:val="18"/>
              </w:rPr>
            </w:pPr>
            <w:r>
              <w:rPr>
                <w:rFonts w:ascii="Times New Roman" w:hAnsi="Times New Roman"/>
                <w:i/>
                <w:iCs/>
                <w:color w:val="000000"/>
                <w:sz w:val="18"/>
                <w:szCs w:val="18"/>
              </w:rPr>
              <w:t>RMX-2</w:t>
            </w:r>
          </w:p>
        </w:tc>
        <w:tc>
          <w:tcPr>
            <w:tcW w:w="770" w:type="dxa"/>
            <w:vMerge w:val="restart"/>
            <w:tcBorders>
              <w:top w:val="single" w:sz="8" w:space="0" w:color="000000"/>
              <w:left w:val="single" w:sz="8" w:space="0" w:color="000000"/>
              <w:bottom w:val="single" w:sz="8" w:space="0" w:color="000000"/>
              <w:right w:val="single" w:sz="8" w:space="0" w:color="000000"/>
            </w:tcBorders>
            <w:shd w:val="clear" w:color="auto" w:fill="CCCCCC"/>
            <w:vAlign w:val="center"/>
            <w:hideMark/>
          </w:tcPr>
          <w:p w:rsidR="00A51A62" w:rsidRDefault="00A51A62" w:rsidP="003C3157">
            <w:pPr>
              <w:spacing w:after="0" w:line="240" w:lineRule="auto"/>
              <w:jc w:val="center"/>
              <w:rPr>
                <w:rFonts w:ascii="Times New Roman" w:hAnsi="Times New Roman"/>
                <w:i/>
                <w:iCs/>
                <w:color w:val="000000"/>
                <w:sz w:val="18"/>
                <w:szCs w:val="18"/>
              </w:rPr>
            </w:pPr>
            <w:r>
              <w:rPr>
                <w:rFonts w:ascii="Times New Roman" w:hAnsi="Times New Roman"/>
                <w:i/>
                <w:iCs/>
                <w:color w:val="000000"/>
                <w:sz w:val="18"/>
                <w:szCs w:val="18"/>
              </w:rPr>
              <w:t>IRMX</w:t>
            </w:r>
          </w:p>
        </w:tc>
        <w:tc>
          <w:tcPr>
            <w:tcW w:w="774" w:type="dxa"/>
            <w:vMerge w:val="restart"/>
            <w:tcBorders>
              <w:top w:val="single" w:sz="8" w:space="0" w:color="000000"/>
              <w:left w:val="single" w:sz="8" w:space="0" w:color="000000"/>
              <w:bottom w:val="single" w:sz="8" w:space="0" w:color="000000"/>
              <w:right w:val="single" w:sz="8" w:space="0" w:color="000000"/>
            </w:tcBorders>
            <w:shd w:val="clear" w:color="auto" w:fill="CCCCCC"/>
            <w:vAlign w:val="center"/>
            <w:hideMark/>
          </w:tcPr>
          <w:p w:rsidR="00A51A62" w:rsidRDefault="00A51A62" w:rsidP="003C3157">
            <w:pPr>
              <w:spacing w:after="0" w:line="240" w:lineRule="auto"/>
              <w:jc w:val="center"/>
              <w:rPr>
                <w:rFonts w:ascii="Times New Roman" w:hAnsi="Times New Roman"/>
                <w:color w:val="000000"/>
                <w:sz w:val="18"/>
                <w:szCs w:val="18"/>
              </w:rPr>
            </w:pPr>
            <w:r>
              <w:rPr>
                <w:rFonts w:ascii="Times New Roman" w:hAnsi="Times New Roman"/>
                <w:bCs/>
                <w:color w:val="000000"/>
                <w:sz w:val="18"/>
                <w:szCs w:val="18"/>
              </w:rPr>
              <w:t>RMX-3</w:t>
            </w:r>
          </w:p>
        </w:tc>
        <w:tc>
          <w:tcPr>
            <w:tcW w:w="791" w:type="dxa"/>
            <w:vMerge w:val="restart"/>
            <w:tcBorders>
              <w:top w:val="single" w:sz="8" w:space="0" w:color="000000"/>
              <w:left w:val="single" w:sz="8" w:space="0" w:color="000000"/>
              <w:bottom w:val="single" w:sz="8" w:space="0" w:color="000000"/>
              <w:right w:val="single" w:sz="8" w:space="0" w:color="000000"/>
            </w:tcBorders>
            <w:shd w:val="clear" w:color="auto" w:fill="CCCCCC"/>
            <w:vAlign w:val="center"/>
            <w:hideMark/>
          </w:tcPr>
          <w:p w:rsidR="00A51A62" w:rsidRDefault="00A51A62" w:rsidP="003C3157">
            <w:pPr>
              <w:spacing w:after="0" w:line="240" w:lineRule="auto"/>
              <w:jc w:val="center"/>
              <w:rPr>
                <w:rFonts w:ascii="Times New Roman" w:hAnsi="Times New Roman"/>
                <w:color w:val="000000"/>
                <w:sz w:val="18"/>
                <w:szCs w:val="18"/>
              </w:rPr>
            </w:pPr>
            <w:r>
              <w:rPr>
                <w:rFonts w:ascii="Times New Roman" w:hAnsi="Times New Roman"/>
                <w:bCs/>
                <w:color w:val="000000"/>
                <w:sz w:val="18"/>
                <w:szCs w:val="18"/>
              </w:rPr>
              <w:t xml:space="preserve">CMX-3 as </w:t>
            </w:r>
            <w:r>
              <w:rPr>
                <w:rFonts w:ascii="Times New Roman" w:hAnsi="Times New Roman"/>
                <w:bCs/>
                <w:color w:val="000000"/>
                <w:sz w:val="18"/>
                <w:szCs w:val="18"/>
              </w:rPr>
              <w:lastRenderedPageBreak/>
              <w:t>provided in § 14-702(2)(c) (except in /TOD)</w:t>
            </w:r>
          </w:p>
        </w:tc>
        <w:tc>
          <w:tcPr>
            <w:tcW w:w="775" w:type="dxa"/>
            <w:tcBorders>
              <w:top w:val="single" w:sz="8" w:space="0" w:color="000000"/>
              <w:left w:val="nil"/>
              <w:bottom w:val="nil"/>
              <w:right w:val="single" w:sz="8" w:space="0" w:color="000000"/>
            </w:tcBorders>
            <w:shd w:val="clear" w:color="auto" w:fill="CCCCCC"/>
            <w:vAlign w:val="center"/>
            <w:hideMark/>
          </w:tcPr>
          <w:p w:rsidR="00A51A62" w:rsidRDefault="00A51A62" w:rsidP="003C3157">
            <w:pPr>
              <w:spacing w:after="0" w:line="240" w:lineRule="auto"/>
              <w:jc w:val="center"/>
              <w:rPr>
                <w:rFonts w:ascii="Times New Roman" w:hAnsi="Times New Roman"/>
                <w:color w:val="000000"/>
                <w:sz w:val="18"/>
                <w:szCs w:val="18"/>
              </w:rPr>
            </w:pPr>
            <w:r>
              <w:rPr>
                <w:rFonts w:ascii="Times New Roman" w:hAnsi="Times New Roman"/>
                <w:bCs/>
                <w:color w:val="000000"/>
                <w:sz w:val="18"/>
                <w:szCs w:val="18"/>
              </w:rPr>
              <w:lastRenderedPageBreak/>
              <w:t>CMX-3</w:t>
            </w:r>
          </w:p>
        </w:tc>
        <w:tc>
          <w:tcPr>
            <w:tcW w:w="771" w:type="dxa"/>
            <w:vMerge w:val="restart"/>
            <w:tcBorders>
              <w:top w:val="single" w:sz="8" w:space="0" w:color="000000"/>
              <w:left w:val="single" w:sz="8" w:space="0" w:color="000000"/>
              <w:bottom w:val="single" w:sz="8" w:space="0" w:color="000000"/>
              <w:right w:val="single" w:sz="8" w:space="0" w:color="000000"/>
            </w:tcBorders>
            <w:shd w:val="clear" w:color="auto" w:fill="CCCCCC"/>
            <w:vAlign w:val="center"/>
            <w:hideMark/>
          </w:tcPr>
          <w:p w:rsidR="00A51A62" w:rsidRDefault="00A51A62" w:rsidP="003C3157">
            <w:pPr>
              <w:spacing w:after="0" w:line="240" w:lineRule="auto"/>
              <w:jc w:val="center"/>
              <w:rPr>
                <w:rFonts w:ascii="Times New Roman" w:hAnsi="Times New Roman"/>
                <w:color w:val="000000"/>
                <w:sz w:val="18"/>
                <w:szCs w:val="18"/>
              </w:rPr>
            </w:pPr>
            <w:r>
              <w:rPr>
                <w:rFonts w:ascii="Times New Roman" w:hAnsi="Times New Roman"/>
                <w:bCs/>
                <w:color w:val="000000"/>
                <w:sz w:val="18"/>
                <w:szCs w:val="18"/>
              </w:rPr>
              <w:t>CMX-4</w:t>
            </w:r>
          </w:p>
        </w:tc>
        <w:tc>
          <w:tcPr>
            <w:tcW w:w="771" w:type="dxa"/>
            <w:vMerge w:val="restart"/>
            <w:tcBorders>
              <w:top w:val="single" w:sz="8" w:space="0" w:color="000000"/>
              <w:left w:val="single" w:sz="8" w:space="0" w:color="000000"/>
              <w:bottom w:val="single" w:sz="8" w:space="0" w:color="000000"/>
              <w:right w:val="single" w:sz="8" w:space="0" w:color="000000"/>
            </w:tcBorders>
            <w:shd w:val="clear" w:color="auto" w:fill="CCCCCC"/>
            <w:vAlign w:val="center"/>
            <w:hideMark/>
          </w:tcPr>
          <w:p w:rsidR="00A51A62" w:rsidRDefault="00A51A62" w:rsidP="003C3157">
            <w:pPr>
              <w:spacing w:after="0" w:line="240" w:lineRule="auto"/>
              <w:jc w:val="center"/>
              <w:rPr>
                <w:rFonts w:ascii="Times New Roman" w:hAnsi="Times New Roman"/>
                <w:color w:val="000000"/>
                <w:sz w:val="18"/>
                <w:szCs w:val="18"/>
              </w:rPr>
            </w:pPr>
            <w:r>
              <w:rPr>
                <w:rFonts w:ascii="Times New Roman" w:hAnsi="Times New Roman"/>
                <w:bCs/>
                <w:color w:val="000000"/>
                <w:sz w:val="18"/>
                <w:szCs w:val="18"/>
              </w:rPr>
              <w:t>CMX-5</w:t>
            </w:r>
          </w:p>
        </w:tc>
      </w:tr>
      <w:tr w:rsidR="00A51A62" w:rsidTr="003C3157">
        <w:trPr>
          <w:trHeight w:val="720"/>
        </w:trPr>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A51A62" w:rsidRDefault="00A51A62" w:rsidP="003C3157">
            <w:pPr>
              <w:spacing w:after="0" w:line="240" w:lineRule="auto"/>
              <w:rPr>
                <w:rFonts w:ascii="Times New Roman" w:hAnsi="Times New Roman"/>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51A62" w:rsidRDefault="00A51A62" w:rsidP="003C3157">
            <w:pPr>
              <w:spacing w:after="0" w:line="240" w:lineRule="auto"/>
              <w:rPr>
                <w:rFonts w:ascii="Times New Roman" w:hAnsi="Times New Roman"/>
                <w:bCs/>
                <w:i/>
                <w:iCs/>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51A62" w:rsidRDefault="00A51A62" w:rsidP="003C3157">
            <w:pPr>
              <w:spacing w:after="0" w:line="240" w:lineRule="auto"/>
              <w:rPr>
                <w:rFonts w:ascii="Times New Roman" w:hAnsi="Times New Roman"/>
                <w:bCs/>
                <w:i/>
                <w:iCs/>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51A62" w:rsidRDefault="00A51A62" w:rsidP="003C3157">
            <w:pPr>
              <w:spacing w:after="0" w:line="240" w:lineRule="auto"/>
              <w:rPr>
                <w:rFonts w:ascii="Times New Roman" w:hAnsi="Times New Roman"/>
                <w:i/>
                <w:iCs/>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51A62" w:rsidRDefault="00A51A62" w:rsidP="003C3157">
            <w:pPr>
              <w:spacing w:after="0" w:line="240" w:lineRule="auto"/>
              <w:rPr>
                <w:rFonts w:ascii="Times New Roman" w:hAnsi="Times New Roman"/>
                <w:i/>
                <w:iCs/>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51A62" w:rsidRDefault="00A51A62" w:rsidP="003C3157">
            <w:pPr>
              <w:spacing w:after="0" w:line="240" w:lineRule="auto"/>
              <w:rPr>
                <w:rFonts w:ascii="Times New Roman" w:hAnsi="Times New Roman"/>
                <w:i/>
                <w:iCs/>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51A62" w:rsidRDefault="00A51A62" w:rsidP="003C3157">
            <w:pPr>
              <w:spacing w:after="0" w:line="240" w:lineRule="auto"/>
              <w:rPr>
                <w:rFonts w:ascii="Times New Roman" w:hAnsi="Times New Roman"/>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51A62" w:rsidRDefault="00A51A62" w:rsidP="003C3157">
            <w:pPr>
              <w:spacing w:after="0" w:line="240" w:lineRule="auto"/>
              <w:rPr>
                <w:rFonts w:ascii="Times New Roman" w:hAnsi="Times New Roman"/>
                <w:color w:val="000000"/>
                <w:sz w:val="18"/>
                <w:szCs w:val="18"/>
              </w:rPr>
            </w:pPr>
          </w:p>
        </w:tc>
        <w:tc>
          <w:tcPr>
            <w:tcW w:w="775" w:type="dxa"/>
            <w:tcBorders>
              <w:top w:val="nil"/>
              <w:left w:val="nil"/>
              <w:bottom w:val="nil"/>
              <w:right w:val="single" w:sz="8" w:space="0" w:color="000000"/>
            </w:tcBorders>
            <w:shd w:val="clear" w:color="auto" w:fill="CCCCCC"/>
            <w:vAlign w:val="center"/>
            <w:hideMark/>
          </w:tcPr>
          <w:p w:rsidR="00A51A62" w:rsidRDefault="00A51A62" w:rsidP="003C3157">
            <w:pPr>
              <w:spacing w:after="0" w:line="240" w:lineRule="auto"/>
              <w:jc w:val="center"/>
              <w:rPr>
                <w:rFonts w:ascii="Times New Roman" w:hAnsi="Times New Roman"/>
                <w:color w:val="000000"/>
                <w:sz w:val="18"/>
                <w:szCs w:val="18"/>
              </w:rPr>
            </w:pPr>
            <w:r>
              <w:rPr>
                <w:rFonts w:ascii="Times New Roman" w:hAnsi="Times New Roman"/>
                <w:color w:val="000000"/>
                <w:sz w:val="18"/>
                <w:szCs w:val="18"/>
              </w:rPr>
              <w:t>(within /TOD only)</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51A62" w:rsidRDefault="00A51A62" w:rsidP="003C3157">
            <w:pPr>
              <w:spacing w:after="0" w:line="240" w:lineRule="auto"/>
              <w:rPr>
                <w:rFonts w:ascii="Times New Roman" w:hAnsi="Times New Roman"/>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51A62" w:rsidRDefault="00A51A62" w:rsidP="003C3157">
            <w:pPr>
              <w:spacing w:after="0" w:line="240" w:lineRule="auto"/>
              <w:rPr>
                <w:rFonts w:ascii="Times New Roman" w:hAnsi="Times New Roman"/>
                <w:color w:val="000000"/>
                <w:sz w:val="18"/>
                <w:szCs w:val="18"/>
              </w:rPr>
            </w:pPr>
          </w:p>
        </w:tc>
      </w:tr>
      <w:tr w:rsidR="00A51A62" w:rsidTr="003C3157">
        <w:trPr>
          <w:trHeight w:val="288"/>
        </w:trPr>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A51A62" w:rsidRDefault="00A51A62" w:rsidP="003C3157">
            <w:pPr>
              <w:spacing w:after="0" w:line="240" w:lineRule="auto"/>
              <w:rPr>
                <w:rFonts w:ascii="Times New Roman" w:hAnsi="Times New Roman"/>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51A62" w:rsidRDefault="00A51A62" w:rsidP="003C3157">
            <w:pPr>
              <w:spacing w:after="0" w:line="240" w:lineRule="auto"/>
              <w:rPr>
                <w:rFonts w:ascii="Times New Roman" w:hAnsi="Times New Roman"/>
                <w:bCs/>
                <w:i/>
                <w:iCs/>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51A62" w:rsidRDefault="00A51A62" w:rsidP="003C3157">
            <w:pPr>
              <w:spacing w:after="0" w:line="240" w:lineRule="auto"/>
              <w:rPr>
                <w:rFonts w:ascii="Times New Roman" w:hAnsi="Times New Roman"/>
                <w:bCs/>
                <w:i/>
                <w:iCs/>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51A62" w:rsidRDefault="00A51A62" w:rsidP="003C3157">
            <w:pPr>
              <w:spacing w:after="0" w:line="240" w:lineRule="auto"/>
              <w:rPr>
                <w:rFonts w:ascii="Times New Roman" w:hAnsi="Times New Roman"/>
                <w:i/>
                <w:iCs/>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51A62" w:rsidRDefault="00A51A62" w:rsidP="003C3157">
            <w:pPr>
              <w:spacing w:after="0" w:line="240" w:lineRule="auto"/>
              <w:rPr>
                <w:rFonts w:ascii="Times New Roman" w:hAnsi="Times New Roman"/>
                <w:i/>
                <w:iCs/>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51A62" w:rsidRDefault="00A51A62" w:rsidP="003C3157">
            <w:pPr>
              <w:spacing w:after="0" w:line="240" w:lineRule="auto"/>
              <w:rPr>
                <w:rFonts w:ascii="Times New Roman" w:hAnsi="Times New Roman"/>
                <w:i/>
                <w:iCs/>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51A62" w:rsidRDefault="00A51A62" w:rsidP="003C3157">
            <w:pPr>
              <w:spacing w:after="0" w:line="240" w:lineRule="auto"/>
              <w:rPr>
                <w:rFonts w:ascii="Times New Roman" w:hAnsi="Times New Roman"/>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51A62" w:rsidRDefault="00A51A62" w:rsidP="003C3157">
            <w:pPr>
              <w:spacing w:after="0" w:line="240" w:lineRule="auto"/>
              <w:rPr>
                <w:rFonts w:ascii="Times New Roman" w:hAnsi="Times New Roman"/>
                <w:color w:val="000000"/>
                <w:sz w:val="18"/>
                <w:szCs w:val="18"/>
              </w:rPr>
            </w:pPr>
          </w:p>
        </w:tc>
        <w:tc>
          <w:tcPr>
            <w:tcW w:w="775" w:type="dxa"/>
            <w:tcBorders>
              <w:top w:val="nil"/>
              <w:left w:val="nil"/>
              <w:bottom w:val="nil"/>
              <w:right w:val="single" w:sz="8" w:space="0" w:color="000000"/>
            </w:tcBorders>
            <w:shd w:val="clear" w:color="auto" w:fill="CCCCCC"/>
            <w:vAlign w:val="center"/>
            <w:hideMark/>
          </w:tcPr>
          <w:p w:rsidR="00A51A62" w:rsidRDefault="00A51A62" w:rsidP="003C3157">
            <w:pPr>
              <w:spacing w:after="0" w:line="240" w:lineRule="auto"/>
              <w:rPr>
                <w:color w:val="000000"/>
              </w:rPr>
            </w:pPr>
            <w:r>
              <w:rPr>
                <w:color w:val="000000"/>
              </w:rPr>
              <w:t>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51A62" w:rsidRDefault="00A51A62" w:rsidP="003C3157">
            <w:pPr>
              <w:spacing w:after="0" w:line="240" w:lineRule="auto"/>
              <w:rPr>
                <w:rFonts w:ascii="Times New Roman" w:hAnsi="Times New Roman"/>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51A62" w:rsidRDefault="00A51A62" w:rsidP="003C3157">
            <w:pPr>
              <w:spacing w:after="0" w:line="240" w:lineRule="auto"/>
              <w:rPr>
                <w:rFonts w:ascii="Times New Roman" w:hAnsi="Times New Roman"/>
                <w:color w:val="000000"/>
                <w:sz w:val="18"/>
                <w:szCs w:val="18"/>
              </w:rPr>
            </w:pPr>
          </w:p>
        </w:tc>
      </w:tr>
      <w:tr w:rsidR="00A51A62" w:rsidTr="003C3157">
        <w:trPr>
          <w:trHeight w:val="288"/>
        </w:trPr>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A51A62" w:rsidRDefault="00A51A62" w:rsidP="003C3157">
            <w:pPr>
              <w:spacing w:after="0" w:line="240" w:lineRule="auto"/>
              <w:rPr>
                <w:rFonts w:ascii="Times New Roman" w:hAnsi="Times New Roman"/>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51A62" w:rsidRDefault="00A51A62" w:rsidP="003C3157">
            <w:pPr>
              <w:spacing w:after="0" w:line="240" w:lineRule="auto"/>
              <w:rPr>
                <w:rFonts w:ascii="Times New Roman" w:hAnsi="Times New Roman"/>
                <w:bCs/>
                <w:i/>
                <w:iCs/>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51A62" w:rsidRDefault="00A51A62" w:rsidP="003C3157">
            <w:pPr>
              <w:spacing w:after="0" w:line="240" w:lineRule="auto"/>
              <w:rPr>
                <w:rFonts w:ascii="Times New Roman" w:hAnsi="Times New Roman"/>
                <w:bCs/>
                <w:i/>
                <w:iCs/>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51A62" w:rsidRDefault="00A51A62" w:rsidP="003C3157">
            <w:pPr>
              <w:spacing w:after="0" w:line="240" w:lineRule="auto"/>
              <w:rPr>
                <w:rFonts w:ascii="Times New Roman" w:hAnsi="Times New Roman"/>
                <w:i/>
                <w:iCs/>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51A62" w:rsidRDefault="00A51A62" w:rsidP="003C3157">
            <w:pPr>
              <w:spacing w:after="0" w:line="240" w:lineRule="auto"/>
              <w:rPr>
                <w:rFonts w:ascii="Times New Roman" w:hAnsi="Times New Roman"/>
                <w:i/>
                <w:iCs/>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51A62" w:rsidRDefault="00A51A62" w:rsidP="003C3157">
            <w:pPr>
              <w:spacing w:after="0" w:line="240" w:lineRule="auto"/>
              <w:rPr>
                <w:rFonts w:ascii="Times New Roman" w:hAnsi="Times New Roman"/>
                <w:i/>
                <w:iCs/>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51A62" w:rsidRDefault="00A51A62" w:rsidP="003C3157">
            <w:pPr>
              <w:spacing w:after="0" w:line="240" w:lineRule="auto"/>
              <w:rPr>
                <w:rFonts w:ascii="Times New Roman" w:hAnsi="Times New Roman"/>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51A62" w:rsidRDefault="00A51A62" w:rsidP="003C3157">
            <w:pPr>
              <w:spacing w:after="0" w:line="240" w:lineRule="auto"/>
              <w:rPr>
                <w:rFonts w:ascii="Times New Roman" w:hAnsi="Times New Roman"/>
                <w:color w:val="000000"/>
                <w:sz w:val="18"/>
                <w:szCs w:val="18"/>
              </w:rPr>
            </w:pPr>
          </w:p>
        </w:tc>
        <w:tc>
          <w:tcPr>
            <w:tcW w:w="775" w:type="dxa"/>
            <w:tcBorders>
              <w:top w:val="nil"/>
              <w:left w:val="nil"/>
              <w:bottom w:val="nil"/>
              <w:right w:val="single" w:sz="8" w:space="0" w:color="000000"/>
            </w:tcBorders>
            <w:shd w:val="clear" w:color="auto" w:fill="CCCCCC"/>
            <w:vAlign w:val="center"/>
            <w:hideMark/>
          </w:tcPr>
          <w:p w:rsidR="00A51A62" w:rsidRDefault="00A51A62" w:rsidP="003C3157">
            <w:pPr>
              <w:spacing w:after="0" w:line="240" w:lineRule="auto"/>
              <w:rPr>
                <w:color w:val="000000"/>
              </w:rPr>
            </w:pPr>
            <w:r>
              <w:rPr>
                <w:color w:val="000000"/>
              </w:rPr>
              <w:t>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51A62" w:rsidRDefault="00A51A62" w:rsidP="003C3157">
            <w:pPr>
              <w:spacing w:after="0" w:line="240" w:lineRule="auto"/>
              <w:rPr>
                <w:rFonts w:ascii="Times New Roman" w:hAnsi="Times New Roman"/>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51A62" w:rsidRDefault="00A51A62" w:rsidP="003C3157">
            <w:pPr>
              <w:spacing w:after="0" w:line="240" w:lineRule="auto"/>
              <w:rPr>
                <w:rFonts w:ascii="Times New Roman" w:hAnsi="Times New Roman"/>
                <w:color w:val="000000"/>
                <w:sz w:val="18"/>
                <w:szCs w:val="18"/>
              </w:rPr>
            </w:pPr>
          </w:p>
        </w:tc>
      </w:tr>
      <w:tr w:rsidR="00A51A62" w:rsidTr="003C3157">
        <w:trPr>
          <w:trHeight w:val="300"/>
        </w:trPr>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A51A62" w:rsidRDefault="00A51A62" w:rsidP="003C3157">
            <w:pPr>
              <w:spacing w:after="0" w:line="240" w:lineRule="auto"/>
              <w:rPr>
                <w:rFonts w:ascii="Times New Roman" w:hAnsi="Times New Roman"/>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51A62" w:rsidRDefault="00A51A62" w:rsidP="003C3157">
            <w:pPr>
              <w:spacing w:after="0" w:line="240" w:lineRule="auto"/>
              <w:rPr>
                <w:rFonts w:ascii="Times New Roman" w:hAnsi="Times New Roman"/>
                <w:bCs/>
                <w:i/>
                <w:iCs/>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51A62" w:rsidRDefault="00A51A62" w:rsidP="003C3157">
            <w:pPr>
              <w:spacing w:after="0" w:line="240" w:lineRule="auto"/>
              <w:rPr>
                <w:rFonts w:ascii="Times New Roman" w:hAnsi="Times New Roman"/>
                <w:bCs/>
                <w:i/>
                <w:iCs/>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51A62" w:rsidRDefault="00A51A62" w:rsidP="003C3157">
            <w:pPr>
              <w:spacing w:after="0" w:line="240" w:lineRule="auto"/>
              <w:rPr>
                <w:rFonts w:ascii="Times New Roman" w:hAnsi="Times New Roman"/>
                <w:i/>
                <w:iCs/>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51A62" w:rsidRDefault="00A51A62" w:rsidP="003C3157">
            <w:pPr>
              <w:spacing w:after="0" w:line="240" w:lineRule="auto"/>
              <w:rPr>
                <w:rFonts w:ascii="Times New Roman" w:hAnsi="Times New Roman"/>
                <w:i/>
                <w:iCs/>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51A62" w:rsidRDefault="00A51A62" w:rsidP="003C3157">
            <w:pPr>
              <w:spacing w:after="0" w:line="240" w:lineRule="auto"/>
              <w:rPr>
                <w:rFonts w:ascii="Times New Roman" w:hAnsi="Times New Roman"/>
                <w:i/>
                <w:iCs/>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51A62" w:rsidRDefault="00A51A62" w:rsidP="003C3157">
            <w:pPr>
              <w:spacing w:after="0" w:line="240" w:lineRule="auto"/>
              <w:rPr>
                <w:rFonts w:ascii="Times New Roman" w:hAnsi="Times New Roman"/>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51A62" w:rsidRDefault="00A51A62" w:rsidP="003C3157">
            <w:pPr>
              <w:spacing w:after="0" w:line="240" w:lineRule="auto"/>
              <w:rPr>
                <w:rFonts w:ascii="Times New Roman" w:hAnsi="Times New Roman"/>
                <w:color w:val="000000"/>
                <w:sz w:val="18"/>
                <w:szCs w:val="18"/>
              </w:rPr>
            </w:pPr>
          </w:p>
        </w:tc>
        <w:tc>
          <w:tcPr>
            <w:tcW w:w="775" w:type="dxa"/>
            <w:tcBorders>
              <w:top w:val="nil"/>
              <w:left w:val="nil"/>
              <w:bottom w:val="single" w:sz="8" w:space="0" w:color="000000"/>
              <w:right w:val="single" w:sz="8" w:space="0" w:color="000000"/>
            </w:tcBorders>
            <w:shd w:val="clear" w:color="auto" w:fill="CCCCCC"/>
            <w:vAlign w:val="center"/>
            <w:hideMark/>
          </w:tcPr>
          <w:p w:rsidR="00A51A62" w:rsidRDefault="00A51A62" w:rsidP="003C3157">
            <w:pPr>
              <w:spacing w:after="0" w:line="240" w:lineRule="auto"/>
              <w:rPr>
                <w:color w:val="000000"/>
              </w:rPr>
            </w:pPr>
            <w:r>
              <w:rPr>
                <w:color w:val="000000"/>
              </w:rPr>
              <w:t>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51A62" w:rsidRDefault="00A51A62" w:rsidP="003C3157">
            <w:pPr>
              <w:spacing w:after="0" w:line="240" w:lineRule="auto"/>
              <w:rPr>
                <w:rFonts w:ascii="Times New Roman" w:hAnsi="Times New Roman"/>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51A62" w:rsidRDefault="00A51A62" w:rsidP="003C3157">
            <w:pPr>
              <w:spacing w:after="0" w:line="240" w:lineRule="auto"/>
              <w:rPr>
                <w:rFonts w:ascii="Times New Roman" w:hAnsi="Times New Roman"/>
                <w:color w:val="000000"/>
                <w:sz w:val="18"/>
                <w:szCs w:val="18"/>
              </w:rPr>
            </w:pPr>
          </w:p>
        </w:tc>
      </w:tr>
      <w:tr w:rsidR="00A51A62" w:rsidTr="003C3157">
        <w:trPr>
          <w:trHeight w:val="300"/>
        </w:trPr>
        <w:tc>
          <w:tcPr>
            <w:tcW w:w="1865" w:type="dxa"/>
            <w:gridSpan w:val="2"/>
            <w:tcBorders>
              <w:top w:val="single" w:sz="8" w:space="0" w:color="000000"/>
              <w:left w:val="single" w:sz="8" w:space="0" w:color="000000"/>
              <w:bottom w:val="single" w:sz="8" w:space="0" w:color="000000"/>
              <w:right w:val="single" w:sz="8" w:space="0" w:color="000000"/>
            </w:tcBorders>
            <w:vAlign w:val="center"/>
            <w:hideMark/>
          </w:tcPr>
          <w:p w:rsidR="00A51A62" w:rsidRDefault="00A51A62" w:rsidP="003C3157">
            <w:pPr>
              <w:spacing w:after="0" w:line="240" w:lineRule="auto"/>
              <w:rPr>
                <w:rFonts w:ascii="Times New Roman" w:hAnsi="Times New Roman"/>
                <w:color w:val="000000"/>
                <w:sz w:val="18"/>
                <w:szCs w:val="18"/>
              </w:rPr>
            </w:pPr>
            <w:r>
              <w:rPr>
                <w:rFonts w:ascii="Times New Roman" w:hAnsi="Times New Roman"/>
                <w:color w:val="000000"/>
                <w:sz w:val="18"/>
                <w:szCs w:val="18"/>
              </w:rPr>
              <w:t>Public Art (§ 14-702(5))</w:t>
            </w:r>
          </w:p>
        </w:tc>
        <w:tc>
          <w:tcPr>
            <w:tcW w:w="760" w:type="dxa"/>
            <w:tcBorders>
              <w:top w:val="nil"/>
              <w:left w:val="nil"/>
              <w:bottom w:val="single" w:sz="8" w:space="0" w:color="000000"/>
              <w:right w:val="single" w:sz="8" w:space="0" w:color="000000"/>
            </w:tcBorders>
            <w:vAlign w:val="center"/>
            <w:hideMark/>
          </w:tcPr>
          <w:p w:rsidR="00A51A62" w:rsidRDefault="00A51A62" w:rsidP="003C3157">
            <w:pPr>
              <w:spacing w:after="0" w:line="240" w:lineRule="auto"/>
              <w:jc w:val="center"/>
              <w:rPr>
                <w:rFonts w:ascii="Times New Roman" w:hAnsi="Times New Roman"/>
                <w:bCs/>
                <w:i/>
                <w:iCs/>
                <w:color w:val="000000"/>
                <w:sz w:val="18"/>
                <w:szCs w:val="18"/>
              </w:rPr>
            </w:pPr>
            <w:r>
              <w:rPr>
                <w:rFonts w:ascii="Times New Roman" w:hAnsi="Times New Roman"/>
                <w:bCs/>
                <w:i/>
                <w:iCs/>
                <w:color w:val="000000"/>
                <w:sz w:val="18"/>
                <w:szCs w:val="18"/>
              </w:rPr>
              <w:t>N/A</w:t>
            </w:r>
          </w:p>
        </w:tc>
        <w:tc>
          <w:tcPr>
            <w:tcW w:w="770" w:type="dxa"/>
            <w:tcBorders>
              <w:top w:val="nil"/>
              <w:left w:val="nil"/>
              <w:bottom w:val="single" w:sz="8" w:space="0" w:color="000000"/>
              <w:right w:val="single" w:sz="8" w:space="0" w:color="000000"/>
            </w:tcBorders>
            <w:vAlign w:val="center"/>
            <w:hideMark/>
          </w:tcPr>
          <w:p w:rsidR="00A51A62" w:rsidRDefault="00A51A62" w:rsidP="003C3157">
            <w:pPr>
              <w:spacing w:after="0" w:line="240" w:lineRule="auto"/>
              <w:jc w:val="center"/>
              <w:rPr>
                <w:rFonts w:ascii="Times New Roman" w:hAnsi="Times New Roman"/>
                <w:bCs/>
                <w:i/>
                <w:iCs/>
                <w:color w:val="000000"/>
                <w:sz w:val="18"/>
                <w:szCs w:val="18"/>
              </w:rPr>
            </w:pPr>
            <w:r>
              <w:rPr>
                <w:rFonts w:ascii="Times New Roman" w:hAnsi="Times New Roman"/>
                <w:bCs/>
                <w:i/>
                <w:iCs/>
                <w:color w:val="000000"/>
                <w:sz w:val="18"/>
                <w:szCs w:val="18"/>
              </w:rPr>
              <w:t>N/A</w:t>
            </w:r>
          </w:p>
        </w:tc>
        <w:tc>
          <w:tcPr>
            <w:tcW w:w="1103" w:type="dxa"/>
            <w:tcBorders>
              <w:top w:val="nil"/>
              <w:left w:val="nil"/>
              <w:bottom w:val="single" w:sz="8" w:space="0" w:color="000000"/>
              <w:right w:val="single" w:sz="8" w:space="0" w:color="000000"/>
            </w:tcBorders>
            <w:vAlign w:val="center"/>
            <w:hideMark/>
          </w:tcPr>
          <w:p w:rsidR="00A51A62" w:rsidRDefault="00A51A62" w:rsidP="003C3157">
            <w:pPr>
              <w:spacing w:after="0" w:line="240" w:lineRule="auto"/>
              <w:jc w:val="center"/>
              <w:rPr>
                <w:rFonts w:ascii="Times New Roman" w:hAnsi="Times New Roman"/>
                <w:i/>
                <w:iCs/>
                <w:color w:val="000000"/>
                <w:sz w:val="18"/>
                <w:szCs w:val="18"/>
              </w:rPr>
            </w:pPr>
            <w:r>
              <w:rPr>
                <w:rFonts w:ascii="Times New Roman" w:hAnsi="Times New Roman"/>
                <w:bCs/>
                <w:i/>
                <w:iCs/>
                <w:color w:val="000000"/>
                <w:sz w:val="18"/>
                <w:szCs w:val="18"/>
              </w:rPr>
              <w:t>N/A</w:t>
            </w:r>
          </w:p>
        </w:tc>
        <w:tc>
          <w:tcPr>
            <w:tcW w:w="770" w:type="dxa"/>
            <w:tcBorders>
              <w:top w:val="nil"/>
              <w:left w:val="nil"/>
              <w:bottom w:val="single" w:sz="8" w:space="0" w:color="000000"/>
              <w:right w:val="single" w:sz="8" w:space="0" w:color="000000"/>
            </w:tcBorders>
            <w:vAlign w:val="center"/>
            <w:hideMark/>
          </w:tcPr>
          <w:p w:rsidR="00A51A62" w:rsidRDefault="00A51A62" w:rsidP="003C3157">
            <w:pPr>
              <w:spacing w:after="0" w:line="240" w:lineRule="auto"/>
              <w:jc w:val="center"/>
              <w:rPr>
                <w:rFonts w:ascii="Times New Roman" w:hAnsi="Times New Roman"/>
                <w:bCs/>
                <w:i/>
                <w:iCs/>
                <w:color w:val="000000"/>
                <w:sz w:val="18"/>
                <w:szCs w:val="18"/>
              </w:rPr>
            </w:pPr>
            <w:r>
              <w:rPr>
                <w:rFonts w:ascii="Times New Roman" w:hAnsi="Times New Roman"/>
                <w:bCs/>
                <w:i/>
                <w:iCs/>
                <w:color w:val="000000"/>
                <w:sz w:val="18"/>
                <w:szCs w:val="18"/>
              </w:rPr>
              <w:t>N/A</w:t>
            </w:r>
          </w:p>
        </w:tc>
        <w:tc>
          <w:tcPr>
            <w:tcW w:w="770" w:type="dxa"/>
            <w:tcBorders>
              <w:top w:val="nil"/>
              <w:left w:val="nil"/>
              <w:bottom w:val="single" w:sz="8" w:space="0" w:color="000000"/>
              <w:right w:val="single" w:sz="8" w:space="0" w:color="000000"/>
            </w:tcBorders>
            <w:vAlign w:val="center"/>
            <w:hideMark/>
          </w:tcPr>
          <w:p w:rsidR="00A51A62" w:rsidRDefault="00A51A62" w:rsidP="003C3157">
            <w:pPr>
              <w:spacing w:after="0" w:line="240" w:lineRule="auto"/>
              <w:jc w:val="center"/>
              <w:rPr>
                <w:rFonts w:ascii="Times New Roman" w:hAnsi="Times New Roman"/>
                <w:bCs/>
                <w:i/>
                <w:iCs/>
                <w:color w:val="000000"/>
                <w:sz w:val="18"/>
                <w:szCs w:val="18"/>
              </w:rPr>
            </w:pPr>
            <w:r>
              <w:rPr>
                <w:rFonts w:ascii="Times New Roman" w:hAnsi="Times New Roman"/>
                <w:bCs/>
                <w:i/>
                <w:iCs/>
                <w:color w:val="000000"/>
                <w:sz w:val="18"/>
                <w:szCs w:val="18"/>
              </w:rPr>
              <w:t>N/A</w:t>
            </w:r>
          </w:p>
        </w:tc>
        <w:tc>
          <w:tcPr>
            <w:tcW w:w="774" w:type="dxa"/>
            <w:tcBorders>
              <w:top w:val="nil"/>
              <w:left w:val="nil"/>
              <w:bottom w:val="single" w:sz="8" w:space="0" w:color="000000"/>
              <w:right w:val="single" w:sz="8" w:space="0" w:color="000000"/>
            </w:tcBorders>
            <w:vAlign w:val="center"/>
            <w:hideMark/>
          </w:tcPr>
          <w:p w:rsidR="00A51A62" w:rsidRDefault="00A51A62" w:rsidP="003C3157">
            <w:pPr>
              <w:spacing w:after="0" w:line="240" w:lineRule="auto"/>
              <w:jc w:val="center"/>
              <w:rPr>
                <w:rFonts w:ascii="Times New Roman" w:hAnsi="Times New Roman"/>
                <w:color w:val="000000"/>
                <w:sz w:val="18"/>
                <w:szCs w:val="18"/>
              </w:rPr>
            </w:pPr>
            <w:r>
              <w:rPr>
                <w:rFonts w:ascii="Times New Roman" w:hAnsi="Times New Roman"/>
                <w:color w:val="000000"/>
                <w:sz w:val="18"/>
                <w:szCs w:val="18"/>
              </w:rPr>
              <w:t>N/A</w:t>
            </w:r>
          </w:p>
        </w:tc>
        <w:tc>
          <w:tcPr>
            <w:tcW w:w="791" w:type="dxa"/>
            <w:tcBorders>
              <w:top w:val="nil"/>
              <w:left w:val="nil"/>
              <w:bottom w:val="single" w:sz="8" w:space="0" w:color="000000"/>
              <w:right w:val="single" w:sz="8" w:space="0" w:color="000000"/>
            </w:tcBorders>
            <w:vAlign w:val="center"/>
            <w:hideMark/>
          </w:tcPr>
          <w:p w:rsidR="00A51A62" w:rsidRDefault="00A51A62" w:rsidP="003C3157">
            <w:pPr>
              <w:spacing w:after="0" w:line="240" w:lineRule="auto"/>
              <w:jc w:val="center"/>
              <w:rPr>
                <w:rFonts w:ascii="Times New Roman" w:hAnsi="Times New Roman"/>
                <w:color w:val="000000"/>
                <w:sz w:val="18"/>
                <w:szCs w:val="18"/>
              </w:rPr>
            </w:pPr>
            <w:r>
              <w:rPr>
                <w:rFonts w:ascii="Times New Roman" w:hAnsi="Times New Roman"/>
                <w:color w:val="000000"/>
                <w:sz w:val="18"/>
                <w:szCs w:val="18"/>
              </w:rPr>
              <w:t>N/A</w:t>
            </w:r>
          </w:p>
        </w:tc>
        <w:tc>
          <w:tcPr>
            <w:tcW w:w="775" w:type="dxa"/>
            <w:tcBorders>
              <w:top w:val="nil"/>
              <w:left w:val="nil"/>
              <w:bottom w:val="single" w:sz="8" w:space="0" w:color="000000"/>
              <w:right w:val="single" w:sz="8" w:space="0" w:color="000000"/>
            </w:tcBorders>
            <w:vAlign w:val="center"/>
            <w:hideMark/>
          </w:tcPr>
          <w:p w:rsidR="00A51A62" w:rsidRDefault="00A51A62" w:rsidP="003C3157">
            <w:pPr>
              <w:spacing w:after="0" w:line="240" w:lineRule="auto"/>
              <w:jc w:val="center"/>
              <w:rPr>
                <w:rFonts w:ascii="Times New Roman" w:hAnsi="Times New Roman"/>
                <w:color w:val="000000"/>
                <w:sz w:val="18"/>
                <w:szCs w:val="18"/>
              </w:rPr>
            </w:pPr>
            <w:r>
              <w:rPr>
                <w:rFonts w:ascii="Times New Roman" w:hAnsi="Times New Roman"/>
                <w:color w:val="000000"/>
                <w:sz w:val="18"/>
                <w:szCs w:val="18"/>
              </w:rPr>
              <w:t>N/A</w:t>
            </w:r>
          </w:p>
        </w:tc>
        <w:tc>
          <w:tcPr>
            <w:tcW w:w="771" w:type="dxa"/>
            <w:tcBorders>
              <w:top w:val="nil"/>
              <w:left w:val="nil"/>
              <w:bottom w:val="single" w:sz="8" w:space="0" w:color="000000"/>
              <w:right w:val="single" w:sz="8" w:space="0" w:color="000000"/>
            </w:tcBorders>
            <w:vAlign w:val="center"/>
            <w:hideMark/>
          </w:tcPr>
          <w:p w:rsidR="00A51A62" w:rsidRDefault="00A51A62" w:rsidP="003C3157">
            <w:pPr>
              <w:spacing w:after="0" w:line="240" w:lineRule="auto"/>
              <w:jc w:val="center"/>
              <w:rPr>
                <w:rFonts w:ascii="Times New Roman" w:hAnsi="Times New Roman"/>
                <w:color w:val="000000"/>
                <w:sz w:val="18"/>
                <w:szCs w:val="18"/>
              </w:rPr>
            </w:pPr>
            <w:r>
              <w:rPr>
                <w:rFonts w:ascii="Times New Roman" w:hAnsi="Times New Roman"/>
                <w:color w:val="000000"/>
                <w:sz w:val="18"/>
                <w:szCs w:val="18"/>
              </w:rPr>
              <w:t>50%</w:t>
            </w:r>
          </w:p>
        </w:tc>
        <w:tc>
          <w:tcPr>
            <w:tcW w:w="771" w:type="dxa"/>
            <w:tcBorders>
              <w:top w:val="nil"/>
              <w:left w:val="nil"/>
              <w:bottom w:val="single" w:sz="8" w:space="0" w:color="000000"/>
              <w:right w:val="single" w:sz="8" w:space="0" w:color="000000"/>
            </w:tcBorders>
            <w:vAlign w:val="center"/>
            <w:hideMark/>
          </w:tcPr>
          <w:p w:rsidR="00A51A62" w:rsidRDefault="00A51A62" w:rsidP="003C3157">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100%</w:t>
            </w:r>
          </w:p>
        </w:tc>
      </w:tr>
      <w:tr w:rsidR="00A51A62" w:rsidTr="003C3157">
        <w:trPr>
          <w:trHeight w:val="480"/>
        </w:trPr>
        <w:tc>
          <w:tcPr>
            <w:tcW w:w="1865" w:type="dxa"/>
            <w:gridSpan w:val="2"/>
            <w:tcBorders>
              <w:top w:val="single" w:sz="8" w:space="0" w:color="000000"/>
              <w:left w:val="single" w:sz="8" w:space="0" w:color="000000"/>
              <w:bottom w:val="single" w:sz="8" w:space="0" w:color="000000"/>
              <w:right w:val="single" w:sz="8" w:space="0" w:color="000000"/>
            </w:tcBorders>
            <w:vAlign w:val="center"/>
            <w:hideMark/>
          </w:tcPr>
          <w:p w:rsidR="00A51A62" w:rsidRDefault="00A51A62" w:rsidP="003C3157">
            <w:pPr>
              <w:spacing w:after="0" w:line="240" w:lineRule="auto"/>
              <w:rPr>
                <w:rFonts w:ascii="Times New Roman" w:hAnsi="Times New Roman"/>
                <w:color w:val="000000"/>
                <w:sz w:val="18"/>
                <w:szCs w:val="18"/>
              </w:rPr>
            </w:pPr>
            <w:r>
              <w:rPr>
                <w:rFonts w:ascii="Times New Roman" w:hAnsi="Times New Roman"/>
                <w:color w:val="000000"/>
                <w:sz w:val="18"/>
                <w:szCs w:val="18"/>
              </w:rPr>
              <w:t>Public Space (§ 14-702(6))</w:t>
            </w:r>
          </w:p>
        </w:tc>
        <w:tc>
          <w:tcPr>
            <w:tcW w:w="760" w:type="dxa"/>
            <w:tcBorders>
              <w:top w:val="nil"/>
              <w:left w:val="nil"/>
              <w:bottom w:val="single" w:sz="8" w:space="0" w:color="000000"/>
              <w:right w:val="single" w:sz="8" w:space="0" w:color="000000"/>
            </w:tcBorders>
            <w:vAlign w:val="center"/>
            <w:hideMark/>
          </w:tcPr>
          <w:p w:rsidR="00A51A62" w:rsidRDefault="00A51A62" w:rsidP="003C3157">
            <w:pPr>
              <w:spacing w:after="0" w:line="240" w:lineRule="auto"/>
              <w:jc w:val="center"/>
              <w:rPr>
                <w:rFonts w:ascii="Times New Roman" w:hAnsi="Times New Roman"/>
                <w:bCs/>
                <w:i/>
                <w:iCs/>
                <w:color w:val="000000"/>
                <w:sz w:val="18"/>
                <w:szCs w:val="18"/>
              </w:rPr>
            </w:pPr>
            <w:r>
              <w:rPr>
                <w:rFonts w:ascii="Times New Roman" w:hAnsi="Times New Roman"/>
                <w:bCs/>
                <w:i/>
                <w:iCs/>
                <w:color w:val="000000"/>
                <w:sz w:val="18"/>
                <w:szCs w:val="18"/>
              </w:rPr>
              <w:t>N/A</w:t>
            </w:r>
          </w:p>
        </w:tc>
        <w:tc>
          <w:tcPr>
            <w:tcW w:w="770" w:type="dxa"/>
            <w:tcBorders>
              <w:top w:val="nil"/>
              <w:left w:val="nil"/>
              <w:bottom w:val="single" w:sz="8" w:space="0" w:color="000000"/>
              <w:right w:val="single" w:sz="8" w:space="0" w:color="000000"/>
            </w:tcBorders>
            <w:vAlign w:val="center"/>
            <w:hideMark/>
          </w:tcPr>
          <w:p w:rsidR="00A51A62" w:rsidRDefault="00A51A62" w:rsidP="003C3157">
            <w:pPr>
              <w:spacing w:after="0" w:line="240" w:lineRule="auto"/>
              <w:jc w:val="center"/>
              <w:rPr>
                <w:rFonts w:ascii="Times New Roman" w:hAnsi="Times New Roman"/>
                <w:bCs/>
                <w:i/>
                <w:iCs/>
                <w:color w:val="000000"/>
                <w:sz w:val="18"/>
                <w:szCs w:val="18"/>
              </w:rPr>
            </w:pPr>
            <w:r>
              <w:rPr>
                <w:rFonts w:ascii="Times New Roman" w:hAnsi="Times New Roman"/>
                <w:bCs/>
                <w:i/>
                <w:iCs/>
                <w:color w:val="000000"/>
                <w:sz w:val="18"/>
                <w:szCs w:val="18"/>
              </w:rPr>
              <w:t>N/A</w:t>
            </w:r>
          </w:p>
        </w:tc>
        <w:tc>
          <w:tcPr>
            <w:tcW w:w="1103" w:type="dxa"/>
            <w:tcBorders>
              <w:top w:val="nil"/>
              <w:left w:val="nil"/>
              <w:bottom w:val="single" w:sz="8" w:space="0" w:color="000000"/>
              <w:right w:val="single" w:sz="8" w:space="0" w:color="000000"/>
            </w:tcBorders>
            <w:vAlign w:val="center"/>
            <w:hideMark/>
          </w:tcPr>
          <w:p w:rsidR="00A51A62" w:rsidRDefault="00A51A62" w:rsidP="003C3157">
            <w:pPr>
              <w:spacing w:after="0" w:line="240" w:lineRule="auto"/>
              <w:jc w:val="center"/>
              <w:rPr>
                <w:rFonts w:ascii="Times New Roman" w:hAnsi="Times New Roman"/>
                <w:i/>
                <w:iCs/>
                <w:color w:val="000000"/>
                <w:sz w:val="18"/>
                <w:szCs w:val="18"/>
              </w:rPr>
            </w:pPr>
            <w:r>
              <w:rPr>
                <w:rFonts w:ascii="Times New Roman" w:hAnsi="Times New Roman"/>
                <w:bCs/>
                <w:i/>
                <w:iCs/>
                <w:color w:val="000000"/>
                <w:sz w:val="18"/>
                <w:szCs w:val="18"/>
              </w:rPr>
              <w:t>N/A</w:t>
            </w:r>
          </w:p>
        </w:tc>
        <w:tc>
          <w:tcPr>
            <w:tcW w:w="770" w:type="dxa"/>
            <w:tcBorders>
              <w:top w:val="nil"/>
              <w:left w:val="nil"/>
              <w:bottom w:val="single" w:sz="8" w:space="0" w:color="000000"/>
              <w:right w:val="single" w:sz="8" w:space="0" w:color="000000"/>
            </w:tcBorders>
            <w:vAlign w:val="center"/>
            <w:hideMark/>
          </w:tcPr>
          <w:p w:rsidR="00A51A62" w:rsidRDefault="00A51A62" w:rsidP="003C3157">
            <w:pPr>
              <w:spacing w:after="0" w:line="240" w:lineRule="auto"/>
              <w:jc w:val="center"/>
              <w:rPr>
                <w:rFonts w:ascii="Times New Roman" w:hAnsi="Times New Roman"/>
                <w:bCs/>
                <w:i/>
                <w:iCs/>
                <w:color w:val="000000"/>
                <w:sz w:val="18"/>
                <w:szCs w:val="18"/>
              </w:rPr>
            </w:pPr>
            <w:r>
              <w:rPr>
                <w:rFonts w:ascii="Times New Roman" w:hAnsi="Times New Roman"/>
                <w:bCs/>
                <w:i/>
                <w:iCs/>
                <w:color w:val="000000"/>
                <w:sz w:val="18"/>
                <w:szCs w:val="18"/>
              </w:rPr>
              <w:t>N/A</w:t>
            </w:r>
          </w:p>
        </w:tc>
        <w:tc>
          <w:tcPr>
            <w:tcW w:w="770" w:type="dxa"/>
            <w:tcBorders>
              <w:top w:val="nil"/>
              <w:left w:val="nil"/>
              <w:bottom w:val="single" w:sz="8" w:space="0" w:color="000000"/>
              <w:right w:val="single" w:sz="8" w:space="0" w:color="000000"/>
            </w:tcBorders>
            <w:vAlign w:val="center"/>
            <w:hideMark/>
          </w:tcPr>
          <w:p w:rsidR="00A51A62" w:rsidRDefault="00A51A62" w:rsidP="003C3157">
            <w:pPr>
              <w:spacing w:after="0" w:line="240" w:lineRule="auto"/>
              <w:jc w:val="center"/>
              <w:rPr>
                <w:rFonts w:ascii="Times New Roman" w:hAnsi="Times New Roman"/>
                <w:bCs/>
                <w:i/>
                <w:iCs/>
                <w:color w:val="000000"/>
                <w:sz w:val="18"/>
                <w:szCs w:val="18"/>
              </w:rPr>
            </w:pPr>
            <w:r>
              <w:rPr>
                <w:rFonts w:ascii="Times New Roman" w:hAnsi="Times New Roman"/>
                <w:bCs/>
                <w:i/>
                <w:iCs/>
                <w:color w:val="000000"/>
                <w:sz w:val="18"/>
                <w:szCs w:val="18"/>
              </w:rPr>
              <w:t>N/A</w:t>
            </w:r>
          </w:p>
        </w:tc>
        <w:tc>
          <w:tcPr>
            <w:tcW w:w="774" w:type="dxa"/>
            <w:tcBorders>
              <w:top w:val="nil"/>
              <w:left w:val="nil"/>
              <w:bottom w:val="single" w:sz="8" w:space="0" w:color="000000"/>
              <w:right w:val="single" w:sz="8" w:space="0" w:color="000000"/>
            </w:tcBorders>
            <w:vAlign w:val="center"/>
            <w:hideMark/>
          </w:tcPr>
          <w:p w:rsidR="00A51A62" w:rsidRDefault="00A51A62" w:rsidP="003C3157">
            <w:pPr>
              <w:spacing w:after="0" w:line="240" w:lineRule="auto"/>
              <w:jc w:val="center"/>
              <w:rPr>
                <w:rFonts w:ascii="Times New Roman" w:hAnsi="Times New Roman"/>
                <w:color w:val="000000"/>
                <w:sz w:val="18"/>
                <w:szCs w:val="18"/>
              </w:rPr>
            </w:pPr>
            <w:r>
              <w:rPr>
                <w:rFonts w:ascii="Times New Roman" w:hAnsi="Times New Roman"/>
                <w:color w:val="000000"/>
                <w:sz w:val="18"/>
                <w:szCs w:val="18"/>
              </w:rPr>
              <w:t>N/A</w:t>
            </w:r>
          </w:p>
        </w:tc>
        <w:tc>
          <w:tcPr>
            <w:tcW w:w="791" w:type="dxa"/>
            <w:tcBorders>
              <w:top w:val="nil"/>
              <w:left w:val="nil"/>
              <w:bottom w:val="single" w:sz="8" w:space="0" w:color="000000"/>
              <w:right w:val="single" w:sz="8" w:space="0" w:color="000000"/>
            </w:tcBorders>
            <w:vAlign w:val="center"/>
            <w:hideMark/>
          </w:tcPr>
          <w:p w:rsidR="00A51A62" w:rsidRDefault="00A51A62" w:rsidP="003C3157">
            <w:pPr>
              <w:spacing w:after="0" w:line="240" w:lineRule="auto"/>
              <w:jc w:val="center"/>
              <w:rPr>
                <w:rFonts w:ascii="Times New Roman" w:hAnsi="Times New Roman"/>
                <w:color w:val="000000"/>
                <w:sz w:val="18"/>
                <w:szCs w:val="18"/>
              </w:rPr>
            </w:pPr>
            <w:r>
              <w:rPr>
                <w:rFonts w:ascii="Times New Roman" w:hAnsi="Times New Roman"/>
                <w:color w:val="000000"/>
                <w:sz w:val="18"/>
                <w:szCs w:val="18"/>
              </w:rPr>
              <w:t>N/A</w:t>
            </w:r>
          </w:p>
        </w:tc>
        <w:tc>
          <w:tcPr>
            <w:tcW w:w="775" w:type="dxa"/>
            <w:tcBorders>
              <w:top w:val="nil"/>
              <w:left w:val="nil"/>
              <w:bottom w:val="single" w:sz="8" w:space="0" w:color="000000"/>
              <w:right w:val="single" w:sz="8" w:space="0" w:color="000000"/>
            </w:tcBorders>
            <w:vAlign w:val="center"/>
            <w:hideMark/>
          </w:tcPr>
          <w:p w:rsidR="00A51A62" w:rsidRDefault="00A51A62" w:rsidP="003C3157">
            <w:pPr>
              <w:spacing w:after="0" w:line="240" w:lineRule="auto"/>
              <w:jc w:val="center"/>
              <w:rPr>
                <w:rFonts w:ascii="Times New Roman" w:hAnsi="Times New Roman"/>
                <w:color w:val="000000"/>
                <w:sz w:val="18"/>
                <w:szCs w:val="18"/>
              </w:rPr>
            </w:pPr>
            <w:r>
              <w:rPr>
                <w:rFonts w:ascii="Times New Roman" w:hAnsi="Times New Roman"/>
                <w:color w:val="000000"/>
                <w:sz w:val="18"/>
                <w:szCs w:val="18"/>
              </w:rPr>
              <w:t>Up to 50%</w:t>
            </w:r>
          </w:p>
        </w:tc>
        <w:tc>
          <w:tcPr>
            <w:tcW w:w="771" w:type="dxa"/>
            <w:tcBorders>
              <w:top w:val="nil"/>
              <w:left w:val="nil"/>
              <w:bottom w:val="single" w:sz="8" w:space="0" w:color="000000"/>
              <w:right w:val="single" w:sz="8" w:space="0" w:color="000000"/>
            </w:tcBorders>
            <w:vAlign w:val="center"/>
            <w:hideMark/>
          </w:tcPr>
          <w:p w:rsidR="00A51A62" w:rsidRDefault="00A51A62" w:rsidP="003C3157">
            <w:pPr>
              <w:spacing w:after="0" w:line="240" w:lineRule="auto"/>
              <w:jc w:val="center"/>
              <w:rPr>
                <w:rFonts w:ascii="Times New Roman" w:hAnsi="Times New Roman"/>
                <w:color w:val="000000"/>
                <w:sz w:val="18"/>
                <w:szCs w:val="18"/>
              </w:rPr>
            </w:pPr>
            <w:r>
              <w:rPr>
                <w:rFonts w:ascii="Times New Roman" w:hAnsi="Times New Roman"/>
                <w:color w:val="000000"/>
                <w:sz w:val="18"/>
                <w:szCs w:val="18"/>
              </w:rPr>
              <w:t>Up to 200%</w:t>
            </w:r>
          </w:p>
        </w:tc>
        <w:tc>
          <w:tcPr>
            <w:tcW w:w="771" w:type="dxa"/>
            <w:tcBorders>
              <w:top w:val="nil"/>
              <w:left w:val="nil"/>
              <w:bottom w:val="single" w:sz="8" w:space="0" w:color="000000"/>
              <w:right w:val="single" w:sz="8" w:space="0" w:color="000000"/>
            </w:tcBorders>
            <w:vAlign w:val="center"/>
            <w:hideMark/>
          </w:tcPr>
          <w:p w:rsidR="00A51A62" w:rsidRDefault="00A51A62" w:rsidP="003C3157">
            <w:pPr>
              <w:spacing w:after="0" w:line="240" w:lineRule="auto"/>
              <w:jc w:val="center"/>
              <w:rPr>
                <w:rFonts w:ascii="Times New Roman" w:hAnsi="Times New Roman"/>
                <w:color w:val="000000"/>
                <w:sz w:val="18"/>
                <w:szCs w:val="18"/>
              </w:rPr>
            </w:pPr>
            <w:r>
              <w:rPr>
                <w:rFonts w:ascii="Times New Roman" w:hAnsi="Times New Roman"/>
                <w:color w:val="000000"/>
                <w:sz w:val="18"/>
                <w:szCs w:val="18"/>
              </w:rPr>
              <w:t>Up to 400%</w:t>
            </w:r>
          </w:p>
        </w:tc>
      </w:tr>
      <w:tr w:rsidR="00A51A62" w:rsidTr="003C3157">
        <w:trPr>
          <w:trHeight w:val="804"/>
        </w:trPr>
        <w:tc>
          <w:tcPr>
            <w:tcW w:w="929" w:type="dxa"/>
            <w:vMerge w:val="restart"/>
            <w:tcBorders>
              <w:top w:val="nil"/>
              <w:left w:val="single" w:sz="8" w:space="0" w:color="000000"/>
              <w:bottom w:val="single" w:sz="8" w:space="0" w:color="000000"/>
              <w:right w:val="single" w:sz="8" w:space="0" w:color="000000"/>
            </w:tcBorders>
            <w:vAlign w:val="center"/>
            <w:hideMark/>
          </w:tcPr>
          <w:p w:rsidR="00A51A62" w:rsidRDefault="00A51A62" w:rsidP="003C3157">
            <w:pPr>
              <w:spacing w:after="0" w:line="240" w:lineRule="auto"/>
              <w:rPr>
                <w:rFonts w:ascii="Times New Roman" w:hAnsi="Times New Roman"/>
                <w:color w:val="000000"/>
                <w:sz w:val="18"/>
                <w:szCs w:val="18"/>
              </w:rPr>
            </w:pPr>
            <w:r>
              <w:rPr>
                <w:rFonts w:ascii="Times New Roman" w:hAnsi="Times New Roman"/>
                <w:color w:val="000000"/>
                <w:sz w:val="18"/>
                <w:szCs w:val="18"/>
              </w:rPr>
              <w:t>Mixed Income Housing (§ 14-702(7))</w:t>
            </w:r>
          </w:p>
        </w:tc>
        <w:tc>
          <w:tcPr>
            <w:tcW w:w="936" w:type="dxa"/>
            <w:tcBorders>
              <w:top w:val="nil"/>
              <w:left w:val="nil"/>
              <w:bottom w:val="single" w:sz="8" w:space="0" w:color="000000"/>
              <w:right w:val="single" w:sz="8" w:space="0" w:color="000000"/>
            </w:tcBorders>
            <w:vAlign w:val="center"/>
            <w:hideMark/>
          </w:tcPr>
          <w:p w:rsidR="00A51A62" w:rsidRDefault="00A51A62" w:rsidP="003C3157">
            <w:pPr>
              <w:spacing w:after="0" w:line="240" w:lineRule="auto"/>
              <w:rPr>
                <w:rFonts w:ascii="Times New Roman" w:hAnsi="Times New Roman"/>
                <w:color w:val="000000"/>
                <w:sz w:val="18"/>
                <w:szCs w:val="18"/>
              </w:rPr>
            </w:pPr>
            <w:r>
              <w:rPr>
                <w:rFonts w:ascii="Times New Roman" w:hAnsi="Times New Roman"/>
                <w:color w:val="000000"/>
                <w:sz w:val="18"/>
                <w:szCs w:val="18"/>
              </w:rPr>
              <w:t>Moderate Income</w:t>
            </w:r>
          </w:p>
        </w:tc>
        <w:tc>
          <w:tcPr>
            <w:tcW w:w="760" w:type="dxa"/>
            <w:tcBorders>
              <w:top w:val="nil"/>
              <w:left w:val="nil"/>
              <w:bottom w:val="single" w:sz="8" w:space="0" w:color="000000"/>
              <w:right w:val="single" w:sz="8" w:space="0" w:color="000000"/>
            </w:tcBorders>
            <w:vAlign w:val="center"/>
            <w:hideMark/>
          </w:tcPr>
          <w:p w:rsidR="00A51A62" w:rsidRDefault="00A51A62" w:rsidP="003C3157">
            <w:pPr>
              <w:spacing w:after="0" w:line="240" w:lineRule="auto"/>
              <w:jc w:val="center"/>
              <w:rPr>
                <w:rFonts w:ascii="Times New Roman" w:hAnsi="Times New Roman"/>
                <w:bCs/>
                <w:i/>
                <w:iCs/>
                <w:color w:val="000000"/>
                <w:sz w:val="20"/>
                <w:szCs w:val="20"/>
              </w:rPr>
            </w:pPr>
            <w:r>
              <w:rPr>
                <w:rFonts w:ascii="Times New Roman" w:hAnsi="Times New Roman"/>
                <w:bCs/>
                <w:i/>
                <w:iCs/>
                <w:color w:val="000000"/>
                <w:sz w:val="20"/>
                <w:szCs w:val="20"/>
              </w:rPr>
              <w:t>25%</w:t>
            </w:r>
          </w:p>
        </w:tc>
        <w:tc>
          <w:tcPr>
            <w:tcW w:w="770" w:type="dxa"/>
            <w:tcBorders>
              <w:top w:val="nil"/>
              <w:left w:val="nil"/>
              <w:bottom w:val="single" w:sz="8" w:space="0" w:color="000000"/>
              <w:right w:val="single" w:sz="8" w:space="0" w:color="000000"/>
            </w:tcBorders>
            <w:vAlign w:val="center"/>
            <w:hideMark/>
          </w:tcPr>
          <w:p w:rsidR="00A51A62" w:rsidRDefault="00A51A62" w:rsidP="003C3157">
            <w:pPr>
              <w:spacing w:after="0" w:line="240" w:lineRule="auto"/>
              <w:jc w:val="center"/>
              <w:rPr>
                <w:rFonts w:ascii="Times New Roman" w:hAnsi="Times New Roman"/>
                <w:bCs/>
                <w:i/>
                <w:iCs/>
                <w:color w:val="000000"/>
                <w:sz w:val="20"/>
                <w:szCs w:val="20"/>
              </w:rPr>
            </w:pPr>
            <w:r>
              <w:rPr>
                <w:rFonts w:ascii="Times New Roman" w:hAnsi="Times New Roman"/>
                <w:bCs/>
                <w:i/>
                <w:iCs/>
                <w:color w:val="000000"/>
                <w:sz w:val="20"/>
                <w:szCs w:val="20"/>
              </w:rPr>
              <w:t>50%</w:t>
            </w:r>
          </w:p>
        </w:tc>
        <w:tc>
          <w:tcPr>
            <w:tcW w:w="1103" w:type="dxa"/>
            <w:tcBorders>
              <w:top w:val="nil"/>
              <w:left w:val="nil"/>
              <w:bottom w:val="single" w:sz="8" w:space="0" w:color="000000"/>
              <w:right w:val="single" w:sz="8" w:space="0" w:color="000000"/>
            </w:tcBorders>
            <w:vAlign w:val="center"/>
            <w:hideMark/>
          </w:tcPr>
          <w:p w:rsidR="00A51A62" w:rsidRDefault="00A51A62" w:rsidP="003C3157">
            <w:pPr>
              <w:spacing w:after="0" w:line="240" w:lineRule="auto"/>
              <w:jc w:val="center"/>
              <w:rPr>
                <w:rFonts w:ascii="Times New Roman" w:hAnsi="Times New Roman"/>
                <w:bCs/>
                <w:i/>
                <w:iCs/>
                <w:color w:val="000000"/>
                <w:sz w:val="20"/>
                <w:szCs w:val="20"/>
              </w:rPr>
            </w:pPr>
            <w:r>
              <w:rPr>
                <w:rFonts w:ascii="Times New Roman" w:hAnsi="Times New Roman"/>
                <w:bCs/>
                <w:i/>
                <w:iCs/>
                <w:color w:val="000000"/>
                <w:sz w:val="20"/>
                <w:szCs w:val="20"/>
              </w:rPr>
              <w:t>100%</w:t>
            </w:r>
          </w:p>
        </w:tc>
        <w:tc>
          <w:tcPr>
            <w:tcW w:w="770" w:type="dxa"/>
            <w:tcBorders>
              <w:top w:val="nil"/>
              <w:left w:val="nil"/>
              <w:bottom w:val="single" w:sz="8" w:space="0" w:color="000000"/>
              <w:right w:val="single" w:sz="8" w:space="0" w:color="000000"/>
            </w:tcBorders>
            <w:vAlign w:val="center"/>
            <w:hideMark/>
          </w:tcPr>
          <w:p w:rsidR="00A51A62" w:rsidRDefault="00A51A62" w:rsidP="003C3157">
            <w:pPr>
              <w:spacing w:after="0" w:line="240" w:lineRule="auto"/>
              <w:jc w:val="center"/>
              <w:rPr>
                <w:rFonts w:ascii="Times New Roman" w:hAnsi="Times New Roman"/>
                <w:bCs/>
                <w:i/>
                <w:iCs/>
                <w:color w:val="000000"/>
                <w:sz w:val="20"/>
                <w:szCs w:val="20"/>
              </w:rPr>
            </w:pPr>
            <w:r>
              <w:rPr>
                <w:rFonts w:ascii="Times New Roman" w:hAnsi="Times New Roman"/>
                <w:bCs/>
                <w:i/>
                <w:iCs/>
                <w:color w:val="000000"/>
                <w:sz w:val="20"/>
                <w:szCs w:val="20"/>
              </w:rPr>
              <w:t>75%</w:t>
            </w:r>
          </w:p>
        </w:tc>
        <w:tc>
          <w:tcPr>
            <w:tcW w:w="770" w:type="dxa"/>
            <w:tcBorders>
              <w:top w:val="nil"/>
              <w:left w:val="nil"/>
              <w:bottom w:val="single" w:sz="8" w:space="0" w:color="000000"/>
              <w:right w:val="single" w:sz="8" w:space="0" w:color="000000"/>
            </w:tcBorders>
            <w:vAlign w:val="center"/>
            <w:hideMark/>
          </w:tcPr>
          <w:p w:rsidR="00A51A62" w:rsidRDefault="00A51A62" w:rsidP="003C3157">
            <w:pPr>
              <w:spacing w:after="0" w:line="240" w:lineRule="auto"/>
              <w:jc w:val="center"/>
              <w:rPr>
                <w:rFonts w:ascii="Times New Roman" w:hAnsi="Times New Roman"/>
                <w:bCs/>
                <w:i/>
                <w:iCs/>
                <w:color w:val="000000"/>
                <w:sz w:val="20"/>
                <w:szCs w:val="20"/>
              </w:rPr>
            </w:pPr>
            <w:r>
              <w:rPr>
                <w:rFonts w:ascii="Times New Roman" w:hAnsi="Times New Roman"/>
                <w:bCs/>
                <w:i/>
                <w:iCs/>
                <w:color w:val="000000"/>
                <w:sz w:val="20"/>
                <w:szCs w:val="20"/>
              </w:rPr>
              <w:t>150%</w:t>
            </w:r>
          </w:p>
        </w:tc>
        <w:tc>
          <w:tcPr>
            <w:tcW w:w="774" w:type="dxa"/>
            <w:tcBorders>
              <w:top w:val="nil"/>
              <w:left w:val="nil"/>
              <w:bottom w:val="single" w:sz="8" w:space="0" w:color="000000"/>
              <w:right w:val="single" w:sz="8" w:space="0" w:color="000000"/>
            </w:tcBorders>
            <w:vAlign w:val="center"/>
            <w:hideMark/>
          </w:tcPr>
          <w:p w:rsidR="00A51A62" w:rsidRDefault="00A51A62" w:rsidP="003C3157">
            <w:pPr>
              <w:spacing w:after="0" w:line="240" w:lineRule="auto"/>
              <w:jc w:val="center"/>
              <w:rPr>
                <w:rFonts w:ascii="Times New Roman" w:hAnsi="Times New Roman"/>
                <w:color w:val="000000"/>
                <w:sz w:val="20"/>
                <w:szCs w:val="20"/>
              </w:rPr>
            </w:pPr>
            <w:r>
              <w:rPr>
                <w:rFonts w:ascii="Times New Roman" w:hAnsi="Times New Roman"/>
                <w:bCs/>
                <w:color w:val="000000"/>
                <w:sz w:val="20"/>
                <w:szCs w:val="20"/>
              </w:rPr>
              <w:t xml:space="preserve">{N/A} </w:t>
            </w:r>
            <w:r>
              <w:rPr>
                <w:rFonts w:ascii="Times New Roman" w:hAnsi="Times New Roman"/>
                <w:i/>
                <w:iCs/>
                <w:color w:val="000000"/>
                <w:sz w:val="20"/>
                <w:szCs w:val="20"/>
              </w:rPr>
              <w:t>150%</w:t>
            </w:r>
          </w:p>
        </w:tc>
        <w:tc>
          <w:tcPr>
            <w:tcW w:w="791" w:type="dxa"/>
            <w:tcBorders>
              <w:top w:val="nil"/>
              <w:left w:val="nil"/>
              <w:bottom w:val="single" w:sz="8" w:space="0" w:color="000000"/>
              <w:right w:val="single" w:sz="8" w:space="0" w:color="000000"/>
            </w:tcBorders>
            <w:vAlign w:val="center"/>
            <w:hideMark/>
          </w:tcPr>
          <w:p w:rsidR="00A51A62" w:rsidRDefault="00A51A62" w:rsidP="003C315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150%</w:t>
            </w:r>
          </w:p>
        </w:tc>
        <w:tc>
          <w:tcPr>
            <w:tcW w:w="775" w:type="dxa"/>
            <w:tcBorders>
              <w:top w:val="nil"/>
              <w:left w:val="nil"/>
              <w:bottom w:val="single" w:sz="8" w:space="0" w:color="000000"/>
              <w:right w:val="single" w:sz="8" w:space="0" w:color="000000"/>
            </w:tcBorders>
            <w:vAlign w:val="center"/>
            <w:hideMark/>
          </w:tcPr>
          <w:p w:rsidR="00A51A62" w:rsidRDefault="00A51A62" w:rsidP="003C315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200%</w:t>
            </w:r>
          </w:p>
        </w:tc>
        <w:tc>
          <w:tcPr>
            <w:tcW w:w="771" w:type="dxa"/>
            <w:tcBorders>
              <w:top w:val="nil"/>
              <w:left w:val="nil"/>
              <w:bottom w:val="single" w:sz="8" w:space="0" w:color="000000"/>
              <w:right w:val="single" w:sz="8" w:space="0" w:color="000000"/>
            </w:tcBorders>
            <w:vAlign w:val="center"/>
            <w:hideMark/>
          </w:tcPr>
          <w:p w:rsidR="00A51A62" w:rsidRDefault="00A51A62" w:rsidP="003C3157">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150%</w:t>
            </w:r>
          </w:p>
        </w:tc>
        <w:tc>
          <w:tcPr>
            <w:tcW w:w="771" w:type="dxa"/>
            <w:tcBorders>
              <w:top w:val="nil"/>
              <w:left w:val="nil"/>
              <w:bottom w:val="single" w:sz="8" w:space="0" w:color="000000"/>
              <w:right w:val="single" w:sz="8" w:space="0" w:color="000000"/>
            </w:tcBorders>
            <w:vAlign w:val="center"/>
            <w:hideMark/>
          </w:tcPr>
          <w:p w:rsidR="00A51A62" w:rsidRDefault="00A51A62" w:rsidP="003C3157">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300%</w:t>
            </w:r>
          </w:p>
        </w:tc>
      </w:tr>
      <w:tr w:rsidR="00A51A62" w:rsidTr="003C3157">
        <w:trPr>
          <w:trHeight w:val="804"/>
        </w:trPr>
        <w:tc>
          <w:tcPr>
            <w:tcW w:w="0" w:type="auto"/>
            <w:vMerge/>
            <w:tcBorders>
              <w:top w:val="nil"/>
              <w:left w:val="single" w:sz="8" w:space="0" w:color="000000"/>
              <w:bottom w:val="single" w:sz="8" w:space="0" w:color="000000"/>
              <w:right w:val="single" w:sz="8" w:space="0" w:color="000000"/>
            </w:tcBorders>
            <w:vAlign w:val="center"/>
            <w:hideMark/>
          </w:tcPr>
          <w:p w:rsidR="00A51A62" w:rsidRDefault="00A51A62" w:rsidP="003C3157">
            <w:pPr>
              <w:spacing w:after="0" w:line="240" w:lineRule="auto"/>
              <w:rPr>
                <w:rFonts w:ascii="Times New Roman" w:hAnsi="Times New Roman"/>
                <w:color w:val="000000"/>
                <w:sz w:val="18"/>
                <w:szCs w:val="18"/>
              </w:rPr>
            </w:pPr>
          </w:p>
        </w:tc>
        <w:tc>
          <w:tcPr>
            <w:tcW w:w="936" w:type="dxa"/>
            <w:tcBorders>
              <w:top w:val="nil"/>
              <w:left w:val="nil"/>
              <w:bottom w:val="single" w:sz="8" w:space="0" w:color="000000"/>
              <w:right w:val="single" w:sz="8" w:space="0" w:color="000000"/>
            </w:tcBorders>
            <w:vAlign w:val="center"/>
            <w:hideMark/>
          </w:tcPr>
          <w:p w:rsidR="00A51A62" w:rsidRDefault="00A51A62" w:rsidP="003C3157">
            <w:pPr>
              <w:spacing w:after="0" w:line="240" w:lineRule="auto"/>
              <w:rPr>
                <w:rFonts w:ascii="Times New Roman" w:hAnsi="Times New Roman"/>
                <w:color w:val="000000"/>
                <w:sz w:val="18"/>
                <w:szCs w:val="18"/>
              </w:rPr>
            </w:pPr>
            <w:r>
              <w:rPr>
                <w:rFonts w:ascii="Times New Roman" w:hAnsi="Times New Roman"/>
                <w:color w:val="000000"/>
                <w:sz w:val="18"/>
                <w:szCs w:val="18"/>
              </w:rPr>
              <w:t>Low Income</w:t>
            </w:r>
          </w:p>
        </w:tc>
        <w:tc>
          <w:tcPr>
            <w:tcW w:w="760" w:type="dxa"/>
            <w:tcBorders>
              <w:top w:val="nil"/>
              <w:left w:val="nil"/>
              <w:bottom w:val="single" w:sz="8" w:space="0" w:color="000000"/>
              <w:right w:val="single" w:sz="8" w:space="0" w:color="000000"/>
            </w:tcBorders>
            <w:vAlign w:val="center"/>
            <w:hideMark/>
          </w:tcPr>
          <w:p w:rsidR="00A51A62" w:rsidRDefault="00A51A62" w:rsidP="003C3157">
            <w:pPr>
              <w:spacing w:after="0" w:line="240" w:lineRule="auto"/>
              <w:jc w:val="center"/>
              <w:rPr>
                <w:rFonts w:ascii="Times New Roman" w:hAnsi="Times New Roman"/>
                <w:bCs/>
                <w:i/>
                <w:iCs/>
                <w:color w:val="000000"/>
                <w:sz w:val="20"/>
                <w:szCs w:val="20"/>
              </w:rPr>
            </w:pPr>
            <w:r>
              <w:rPr>
                <w:rFonts w:ascii="Times New Roman" w:hAnsi="Times New Roman"/>
                <w:bCs/>
                <w:i/>
                <w:iCs/>
                <w:color w:val="000000"/>
                <w:sz w:val="20"/>
                <w:szCs w:val="20"/>
              </w:rPr>
              <w:t>50%</w:t>
            </w:r>
          </w:p>
        </w:tc>
        <w:tc>
          <w:tcPr>
            <w:tcW w:w="770" w:type="dxa"/>
            <w:tcBorders>
              <w:top w:val="nil"/>
              <w:left w:val="nil"/>
              <w:bottom w:val="single" w:sz="8" w:space="0" w:color="000000"/>
              <w:right w:val="single" w:sz="8" w:space="0" w:color="000000"/>
            </w:tcBorders>
            <w:vAlign w:val="center"/>
            <w:hideMark/>
          </w:tcPr>
          <w:p w:rsidR="00A51A62" w:rsidRDefault="00A51A62" w:rsidP="003C3157">
            <w:pPr>
              <w:spacing w:after="0" w:line="240" w:lineRule="auto"/>
              <w:jc w:val="center"/>
              <w:rPr>
                <w:rFonts w:ascii="Times New Roman" w:hAnsi="Times New Roman"/>
                <w:bCs/>
                <w:i/>
                <w:iCs/>
                <w:color w:val="000000"/>
                <w:sz w:val="20"/>
                <w:szCs w:val="20"/>
              </w:rPr>
            </w:pPr>
            <w:r>
              <w:rPr>
                <w:rFonts w:ascii="Times New Roman" w:hAnsi="Times New Roman"/>
                <w:bCs/>
                <w:i/>
                <w:iCs/>
                <w:color w:val="000000"/>
                <w:sz w:val="20"/>
                <w:szCs w:val="20"/>
              </w:rPr>
              <w:t>75%</w:t>
            </w:r>
          </w:p>
        </w:tc>
        <w:tc>
          <w:tcPr>
            <w:tcW w:w="1103" w:type="dxa"/>
            <w:tcBorders>
              <w:top w:val="nil"/>
              <w:left w:val="nil"/>
              <w:bottom w:val="single" w:sz="8" w:space="0" w:color="000000"/>
              <w:right w:val="single" w:sz="8" w:space="0" w:color="000000"/>
            </w:tcBorders>
            <w:vAlign w:val="center"/>
            <w:hideMark/>
          </w:tcPr>
          <w:p w:rsidR="00A51A62" w:rsidRDefault="00A51A62" w:rsidP="003C3157">
            <w:pPr>
              <w:spacing w:after="0" w:line="240" w:lineRule="auto"/>
              <w:jc w:val="center"/>
              <w:rPr>
                <w:rFonts w:ascii="Times New Roman" w:hAnsi="Times New Roman"/>
                <w:bCs/>
                <w:i/>
                <w:iCs/>
                <w:color w:val="000000"/>
                <w:sz w:val="20"/>
                <w:szCs w:val="20"/>
              </w:rPr>
            </w:pPr>
            <w:r>
              <w:rPr>
                <w:rFonts w:ascii="Times New Roman" w:hAnsi="Times New Roman"/>
                <w:bCs/>
                <w:i/>
                <w:iCs/>
                <w:color w:val="000000"/>
                <w:sz w:val="20"/>
                <w:szCs w:val="20"/>
              </w:rPr>
              <w:t>175%</w:t>
            </w:r>
          </w:p>
        </w:tc>
        <w:tc>
          <w:tcPr>
            <w:tcW w:w="770" w:type="dxa"/>
            <w:tcBorders>
              <w:top w:val="nil"/>
              <w:left w:val="nil"/>
              <w:bottom w:val="single" w:sz="8" w:space="0" w:color="000000"/>
              <w:right w:val="single" w:sz="8" w:space="0" w:color="000000"/>
            </w:tcBorders>
            <w:vAlign w:val="center"/>
            <w:hideMark/>
          </w:tcPr>
          <w:p w:rsidR="00A51A62" w:rsidRDefault="00A51A62" w:rsidP="003C3157">
            <w:pPr>
              <w:spacing w:after="0" w:line="240" w:lineRule="auto"/>
              <w:jc w:val="center"/>
              <w:rPr>
                <w:rFonts w:ascii="Times New Roman" w:hAnsi="Times New Roman"/>
                <w:bCs/>
                <w:i/>
                <w:iCs/>
                <w:color w:val="000000"/>
                <w:sz w:val="20"/>
                <w:szCs w:val="20"/>
              </w:rPr>
            </w:pPr>
            <w:r>
              <w:rPr>
                <w:rFonts w:ascii="Times New Roman" w:hAnsi="Times New Roman"/>
                <w:bCs/>
                <w:i/>
                <w:iCs/>
                <w:color w:val="000000"/>
                <w:sz w:val="20"/>
                <w:szCs w:val="20"/>
              </w:rPr>
              <w:t>125%</w:t>
            </w:r>
          </w:p>
        </w:tc>
        <w:tc>
          <w:tcPr>
            <w:tcW w:w="770" w:type="dxa"/>
            <w:tcBorders>
              <w:top w:val="nil"/>
              <w:left w:val="nil"/>
              <w:bottom w:val="single" w:sz="8" w:space="0" w:color="000000"/>
              <w:right w:val="single" w:sz="8" w:space="0" w:color="000000"/>
            </w:tcBorders>
            <w:vAlign w:val="center"/>
            <w:hideMark/>
          </w:tcPr>
          <w:p w:rsidR="00A51A62" w:rsidRDefault="00A51A62" w:rsidP="003C3157">
            <w:pPr>
              <w:spacing w:after="0" w:line="240" w:lineRule="auto"/>
              <w:jc w:val="center"/>
              <w:rPr>
                <w:rFonts w:ascii="Times New Roman" w:hAnsi="Times New Roman"/>
                <w:bCs/>
                <w:i/>
                <w:iCs/>
                <w:color w:val="000000"/>
                <w:sz w:val="20"/>
                <w:szCs w:val="20"/>
              </w:rPr>
            </w:pPr>
            <w:r>
              <w:rPr>
                <w:rFonts w:ascii="Times New Roman" w:hAnsi="Times New Roman"/>
                <w:bCs/>
                <w:i/>
                <w:iCs/>
                <w:color w:val="000000"/>
                <w:sz w:val="20"/>
                <w:szCs w:val="20"/>
              </w:rPr>
              <w:t>250%</w:t>
            </w:r>
          </w:p>
        </w:tc>
        <w:tc>
          <w:tcPr>
            <w:tcW w:w="774" w:type="dxa"/>
            <w:tcBorders>
              <w:top w:val="nil"/>
              <w:left w:val="nil"/>
              <w:bottom w:val="single" w:sz="8" w:space="0" w:color="000000"/>
              <w:right w:val="single" w:sz="8" w:space="0" w:color="000000"/>
            </w:tcBorders>
            <w:vAlign w:val="center"/>
            <w:hideMark/>
          </w:tcPr>
          <w:p w:rsidR="00A51A62" w:rsidRDefault="00A51A62" w:rsidP="003C3157">
            <w:pPr>
              <w:spacing w:after="0" w:line="240" w:lineRule="auto"/>
              <w:jc w:val="center"/>
              <w:rPr>
                <w:rFonts w:ascii="Times New Roman" w:hAnsi="Times New Roman"/>
                <w:color w:val="000000"/>
                <w:sz w:val="20"/>
                <w:szCs w:val="20"/>
              </w:rPr>
            </w:pPr>
            <w:r>
              <w:rPr>
                <w:rFonts w:ascii="Times New Roman" w:hAnsi="Times New Roman"/>
                <w:bCs/>
                <w:color w:val="000000"/>
                <w:sz w:val="20"/>
                <w:szCs w:val="20"/>
              </w:rPr>
              <w:t>{N/A}</w:t>
            </w:r>
            <w:r>
              <w:rPr>
                <w:rFonts w:ascii="Times New Roman" w:hAnsi="Times New Roman"/>
                <w:color w:val="000000"/>
                <w:sz w:val="20"/>
                <w:szCs w:val="20"/>
              </w:rPr>
              <w:t xml:space="preserve"> </w:t>
            </w:r>
            <w:r>
              <w:rPr>
                <w:rFonts w:ascii="Times New Roman" w:hAnsi="Times New Roman"/>
                <w:i/>
                <w:iCs/>
                <w:color w:val="000000"/>
                <w:sz w:val="20"/>
                <w:szCs w:val="20"/>
              </w:rPr>
              <w:t>250%</w:t>
            </w:r>
          </w:p>
        </w:tc>
        <w:tc>
          <w:tcPr>
            <w:tcW w:w="791" w:type="dxa"/>
            <w:tcBorders>
              <w:top w:val="nil"/>
              <w:left w:val="nil"/>
              <w:bottom w:val="single" w:sz="8" w:space="0" w:color="000000"/>
              <w:right w:val="single" w:sz="8" w:space="0" w:color="000000"/>
            </w:tcBorders>
            <w:vAlign w:val="center"/>
            <w:hideMark/>
          </w:tcPr>
          <w:p w:rsidR="00A51A62" w:rsidRDefault="00A51A62" w:rsidP="003C315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250%</w:t>
            </w:r>
          </w:p>
        </w:tc>
        <w:tc>
          <w:tcPr>
            <w:tcW w:w="775" w:type="dxa"/>
            <w:tcBorders>
              <w:top w:val="nil"/>
              <w:left w:val="nil"/>
              <w:bottom w:val="single" w:sz="8" w:space="0" w:color="000000"/>
              <w:right w:val="single" w:sz="8" w:space="0" w:color="000000"/>
            </w:tcBorders>
            <w:vAlign w:val="center"/>
            <w:hideMark/>
          </w:tcPr>
          <w:p w:rsidR="00A51A62" w:rsidRPr="009A2A29" w:rsidRDefault="00A51A62" w:rsidP="003C3157">
            <w:pPr>
              <w:spacing w:after="0" w:line="240" w:lineRule="auto"/>
              <w:jc w:val="center"/>
              <w:rPr>
                <w:rFonts w:ascii="Times New Roman" w:hAnsi="Times New Roman"/>
                <w:strike/>
                <w:color w:val="000000"/>
                <w:sz w:val="16"/>
                <w:szCs w:val="16"/>
              </w:rPr>
            </w:pPr>
            <w:r w:rsidRPr="009A2A29">
              <w:rPr>
                <w:rFonts w:ascii="Times New Roman" w:hAnsi="Times New Roman"/>
                <w:strike/>
                <w:color w:val="000000"/>
                <w:sz w:val="16"/>
                <w:szCs w:val="16"/>
              </w:rPr>
              <w:t>250%</w:t>
            </w:r>
          </w:p>
          <w:p w:rsidR="00B9168C" w:rsidRPr="009A2A29" w:rsidRDefault="00B9168C" w:rsidP="003C3157">
            <w:pPr>
              <w:spacing w:after="0" w:line="240" w:lineRule="auto"/>
              <w:jc w:val="center"/>
              <w:rPr>
                <w:rFonts w:ascii="Times New Roman" w:hAnsi="Times New Roman"/>
                <w:b/>
                <w:color w:val="000000"/>
                <w:sz w:val="16"/>
                <w:szCs w:val="16"/>
              </w:rPr>
            </w:pPr>
            <w:r w:rsidRPr="009A2A29">
              <w:rPr>
                <w:rFonts w:ascii="Times New Roman" w:hAnsi="Times New Roman"/>
                <w:b/>
                <w:color w:val="000000"/>
                <w:sz w:val="16"/>
                <w:szCs w:val="16"/>
              </w:rPr>
              <w:t>{250%}</w:t>
            </w:r>
          </w:p>
          <w:p w:rsidR="00B9168C" w:rsidRPr="009A2A29" w:rsidRDefault="00B9168C" w:rsidP="003C3157">
            <w:pPr>
              <w:spacing w:after="0" w:line="240" w:lineRule="auto"/>
              <w:jc w:val="center"/>
              <w:rPr>
                <w:rFonts w:ascii="Times New Roman" w:hAnsi="Times New Roman"/>
                <w:b/>
                <w:i/>
                <w:color w:val="000000"/>
                <w:sz w:val="16"/>
                <w:szCs w:val="16"/>
              </w:rPr>
            </w:pPr>
            <w:r w:rsidRPr="009A2A29">
              <w:rPr>
                <w:rFonts w:ascii="Times New Roman" w:hAnsi="Times New Roman"/>
                <w:b/>
                <w:i/>
                <w:color w:val="000000"/>
                <w:sz w:val="16"/>
                <w:szCs w:val="16"/>
              </w:rPr>
              <w:t>300%</w:t>
            </w:r>
          </w:p>
        </w:tc>
        <w:tc>
          <w:tcPr>
            <w:tcW w:w="771" w:type="dxa"/>
            <w:tcBorders>
              <w:top w:val="nil"/>
              <w:left w:val="nil"/>
              <w:bottom w:val="single" w:sz="8" w:space="0" w:color="000000"/>
              <w:right w:val="single" w:sz="8" w:space="0" w:color="000000"/>
            </w:tcBorders>
            <w:vAlign w:val="center"/>
            <w:hideMark/>
          </w:tcPr>
          <w:p w:rsidR="00A51A62" w:rsidRDefault="00A51A62" w:rsidP="003C3157">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250%</w:t>
            </w:r>
          </w:p>
        </w:tc>
        <w:tc>
          <w:tcPr>
            <w:tcW w:w="771" w:type="dxa"/>
            <w:tcBorders>
              <w:top w:val="nil"/>
              <w:left w:val="nil"/>
              <w:bottom w:val="single" w:sz="8" w:space="0" w:color="000000"/>
              <w:right w:val="single" w:sz="8" w:space="0" w:color="000000"/>
            </w:tcBorders>
            <w:vAlign w:val="center"/>
            <w:hideMark/>
          </w:tcPr>
          <w:p w:rsidR="00A51A62" w:rsidRDefault="00A51A62" w:rsidP="003C3157">
            <w:pPr>
              <w:spacing w:after="0" w:line="240" w:lineRule="auto"/>
              <w:jc w:val="center"/>
              <w:rPr>
                <w:rFonts w:ascii="Times New Roman" w:hAnsi="Times New Roman"/>
                <w:color w:val="000000"/>
                <w:sz w:val="18"/>
                <w:szCs w:val="18"/>
              </w:rPr>
            </w:pPr>
            <w:r>
              <w:rPr>
                <w:rFonts w:ascii="Times New Roman" w:hAnsi="Times New Roman"/>
                <w:color w:val="000000"/>
                <w:sz w:val="18"/>
                <w:szCs w:val="18"/>
              </w:rPr>
              <w:t>400%</w:t>
            </w:r>
          </w:p>
        </w:tc>
      </w:tr>
      <w:tr w:rsidR="00A51A62" w:rsidTr="003C3157">
        <w:trPr>
          <w:trHeight w:val="480"/>
        </w:trPr>
        <w:tc>
          <w:tcPr>
            <w:tcW w:w="1865" w:type="dxa"/>
            <w:gridSpan w:val="2"/>
            <w:tcBorders>
              <w:top w:val="single" w:sz="8" w:space="0" w:color="000000"/>
              <w:left w:val="single" w:sz="8" w:space="0" w:color="000000"/>
              <w:bottom w:val="single" w:sz="8" w:space="0" w:color="000000"/>
              <w:right w:val="single" w:sz="8" w:space="0" w:color="000000"/>
            </w:tcBorders>
            <w:vAlign w:val="center"/>
            <w:hideMark/>
          </w:tcPr>
          <w:p w:rsidR="00A51A62" w:rsidRDefault="00A51A62" w:rsidP="003C3157">
            <w:pPr>
              <w:spacing w:after="0" w:line="240" w:lineRule="auto"/>
              <w:rPr>
                <w:rFonts w:ascii="Times New Roman" w:hAnsi="Times New Roman"/>
                <w:color w:val="000000"/>
                <w:sz w:val="18"/>
                <w:szCs w:val="18"/>
              </w:rPr>
            </w:pPr>
            <w:r>
              <w:rPr>
                <w:rFonts w:ascii="Times New Roman" w:hAnsi="Times New Roman"/>
                <w:color w:val="000000"/>
                <w:sz w:val="18"/>
                <w:szCs w:val="18"/>
              </w:rPr>
              <w:t>Transit Improvements (§ 14-702(8))</w:t>
            </w:r>
          </w:p>
        </w:tc>
        <w:tc>
          <w:tcPr>
            <w:tcW w:w="760" w:type="dxa"/>
            <w:tcBorders>
              <w:top w:val="nil"/>
              <w:left w:val="nil"/>
              <w:bottom w:val="single" w:sz="8" w:space="0" w:color="000000"/>
              <w:right w:val="single" w:sz="8" w:space="0" w:color="000000"/>
            </w:tcBorders>
            <w:vAlign w:val="center"/>
            <w:hideMark/>
          </w:tcPr>
          <w:p w:rsidR="00A51A62" w:rsidRDefault="00A51A62" w:rsidP="003C3157">
            <w:pPr>
              <w:spacing w:after="0" w:line="240" w:lineRule="auto"/>
              <w:jc w:val="center"/>
              <w:rPr>
                <w:rFonts w:ascii="Times New Roman" w:hAnsi="Times New Roman"/>
                <w:bCs/>
                <w:i/>
                <w:iCs/>
                <w:color w:val="000000"/>
                <w:sz w:val="18"/>
                <w:szCs w:val="18"/>
              </w:rPr>
            </w:pPr>
            <w:r>
              <w:rPr>
                <w:rFonts w:ascii="Times New Roman" w:hAnsi="Times New Roman"/>
                <w:bCs/>
                <w:i/>
                <w:iCs/>
                <w:color w:val="000000"/>
                <w:sz w:val="18"/>
                <w:szCs w:val="18"/>
              </w:rPr>
              <w:t>N/A</w:t>
            </w:r>
          </w:p>
        </w:tc>
        <w:tc>
          <w:tcPr>
            <w:tcW w:w="770" w:type="dxa"/>
            <w:tcBorders>
              <w:top w:val="nil"/>
              <w:left w:val="nil"/>
              <w:bottom w:val="single" w:sz="8" w:space="0" w:color="000000"/>
              <w:right w:val="single" w:sz="8" w:space="0" w:color="000000"/>
            </w:tcBorders>
            <w:vAlign w:val="center"/>
            <w:hideMark/>
          </w:tcPr>
          <w:p w:rsidR="00A51A62" w:rsidRDefault="00A51A62" w:rsidP="003C3157">
            <w:pPr>
              <w:spacing w:after="0" w:line="240" w:lineRule="auto"/>
              <w:jc w:val="center"/>
              <w:rPr>
                <w:rFonts w:ascii="Times New Roman" w:hAnsi="Times New Roman"/>
                <w:bCs/>
                <w:i/>
                <w:iCs/>
                <w:color w:val="000000"/>
                <w:sz w:val="18"/>
                <w:szCs w:val="18"/>
              </w:rPr>
            </w:pPr>
            <w:r>
              <w:rPr>
                <w:rFonts w:ascii="Times New Roman" w:hAnsi="Times New Roman"/>
                <w:bCs/>
                <w:i/>
                <w:iCs/>
                <w:color w:val="000000"/>
                <w:sz w:val="18"/>
                <w:szCs w:val="18"/>
              </w:rPr>
              <w:t>N/A</w:t>
            </w:r>
          </w:p>
        </w:tc>
        <w:tc>
          <w:tcPr>
            <w:tcW w:w="1103" w:type="dxa"/>
            <w:tcBorders>
              <w:top w:val="nil"/>
              <w:left w:val="nil"/>
              <w:bottom w:val="single" w:sz="8" w:space="0" w:color="000000"/>
              <w:right w:val="single" w:sz="8" w:space="0" w:color="000000"/>
            </w:tcBorders>
            <w:vAlign w:val="center"/>
            <w:hideMark/>
          </w:tcPr>
          <w:p w:rsidR="00A51A62" w:rsidRDefault="00A51A62" w:rsidP="003C3157">
            <w:pPr>
              <w:spacing w:after="0" w:line="240" w:lineRule="auto"/>
              <w:jc w:val="center"/>
              <w:rPr>
                <w:rFonts w:ascii="Times New Roman" w:hAnsi="Times New Roman"/>
                <w:i/>
                <w:iCs/>
                <w:sz w:val="18"/>
                <w:szCs w:val="18"/>
              </w:rPr>
            </w:pPr>
            <w:r>
              <w:rPr>
                <w:rFonts w:ascii="Times New Roman" w:hAnsi="Times New Roman"/>
                <w:bCs/>
                <w:i/>
                <w:iCs/>
                <w:sz w:val="18"/>
                <w:szCs w:val="18"/>
              </w:rPr>
              <w:t>N/A</w:t>
            </w:r>
          </w:p>
        </w:tc>
        <w:tc>
          <w:tcPr>
            <w:tcW w:w="770" w:type="dxa"/>
            <w:tcBorders>
              <w:top w:val="nil"/>
              <w:left w:val="nil"/>
              <w:bottom w:val="single" w:sz="8" w:space="0" w:color="000000"/>
              <w:right w:val="single" w:sz="8" w:space="0" w:color="000000"/>
            </w:tcBorders>
            <w:vAlign w:val="center"/>
            <w:hideMark/>
          </w:tcPr>
          <w:p w:rsidR="00A51A62" w:rsidRDefault="00A51A62" w:rsidP="003C3157">
            <w:pPr>
              <w:spacing w:after="0" w:line="240" w:lineRule="auto"/>
              <w:jc w:val="center"/>
              <w:rPr>
                <w:rFonts w:ascii="Times New Roman" w:hAnsi="Times New Roman"/>
                <w:bCs/>
                <w:i/>
                <w:iCs/>
                <w:color w:val="000000"/>
                <w:sz w:val="18"/>
                <w:szCs w:val="18"/>
              </w:rPr>
            </w:pPr>
            <w:r>
              <w:rPr>
                <w:rFonts w:ascii="Times New Roman" w:hAnsi="Times New Roman"/>
                <w:bCs/>
                <w:i/>
                <w:iCs/>
                <w:color w:val="000000"/>
                <w:sz w:val="18"/>
                <w:szCs w:val="18"/>
              </w:rPr>
              <w:t>N/A</w:t>
            </w:r>
          </w:p>
        </w:tc>
        <w:tc>
          <w:tcPr>
            <w:tcW w:w="770" w:type="dxa"/>
            <w:tcBorders>
              <w:top w:val="nil"/>
              <w:left w:val="nil"/>
              <w:bottom w:val="single" w:sz="8" w:space="0" w:color="000000"/>
              <w:right w:val="single" w:sz="8" w:space="0" w:color="000000"/>
            </w:tcBorders>
            <w:vAlign w:val="center"/>
            <w:hideMark/>
          </w:tcPr>
          <w:p w:rsidR="00A51A62" w:rsidRDefault="00A51A62" w:rsidP="003C3157">
            <w:pPr>
              <w:spacing w:after="0" w:line="240" w:lineRule="auto"/>
              <w:jc w:val="center"/>
              <w:rPr>
                <w:rFonts w:ascii="Times New Roman" w:hAnsi="Times New Roman"/>
                <w:bCs/>
                <w:i/>
                <w:iCs/>
                <w:color w:val="000000"/>
                <w:sz w:val="18"/>
                <w:szCs w:val="18"/>
              </w:rPr>
            </w:pPr>
            <w:r>
              <w:rPr>
                <w:rFonts w:ascii="Times New Roman" w:hAnsi="Times New Roman"/>
                <w:bCs/>
                <w:i/>
                <w:iCs/>
                <w:color w:val="000000"/>
                <w:sz w:val="18"/>
                <w:szCs w:val="18"/>
              </w:rPr>
              <w:t>N/A</w:t>
            </w:r>
          </w:p>
        </w:tc>
        <w:tc>
          <w:tcPr>
            <w:tcW w:w="774" w:type="dxa"/>
            <w:tcBorders>
              <w:top w:val="nil"/>
              <w:left w:val="nil"/>
              <w:bottom w:val="single" w:sz="8" w:space="0" w:color="000000"/>
              <w:right w:val="single" w:sz="8" w:space="0" w:color="000000"/>
            </w:tcBorders>
            <w:vAlign w:val="center"/>
            <w:hideMark/>
          </w:tcPr>
          <w:p w:rsidR="00A51A62" w:rsidRDefault="00A51A62" w:rsidP="003C3157">
            <w:pPr>
              <w:spacing w:after="0" w:line="240" w:lineRule="auto"/>
              <w:jc w:val="center"/>
              <w:rPr>
                <w:rFonts w:ascii="Times New Roman" w:hAnsi="Times New Roman"/>
                <w:color w:val="000000"/>
                <w:sz w:val="18"/>
                <w:szCs w:val="18"/>
              </w:rPr>
            </w:pPr>
            <w:r>
              <w:rPr>
                <w:rFonts w:ascii="Times New Roman" w:hAnsi="Times New Roman"/>
                <w:color w:val="000000"/>
                <w:sz w:val="18"/>
                <w:szCs w:val="18"/>
              </w:rPr>
              <w:t>N/A</w:t>
            </w:r>
          </w:p>
        </w:tc>
        <w:tc>
          <w:tcPr>
            <w:tcW w:w="791" w:type="dxa"/>
            <w:tcBorders>
              <w:top w:val="nil"/>
              <w:left w:val="nil"/>
              <w:bottom w:val="single" w:sz="8" w:space="0" w:color="000000"/>
              <w:right w:val="single" w:sz="8" w:space="0" w:color="000000"/>
            </w:tcBorders>
            <w:vAlign w:val="center"/>
            <w:hideMark/>
          </w:tcPr>
          <w:p w:rsidR="00A51A62" w:rsidRDefault="00A51A62" w:rsidP="003C3157">
            <w:pPr>
              <w:spacing w:after="0" w:line="240" w:lineRule="auto"/>
              <w:jc w:val="center"/>
              <w:rPr>
                <w:rFonts w:ascii="Times New Roman" w:hAnsi="Times New Roman"/>
                <w:color w:val="000000"/>
                <w:sz w:val="18"/>
                <w:szCs w:val="18"/>
              </w:rPr>
            </w:pPr>
            <w:r>
              <w:rPr>
                <w:rFonts w:ascii="Times New Roman" w:hAnsi="Times New Roman"/>
                <w:color w:val="000000"/>
                <w:sz w:val="18"/>
                <w:szCs w:val="18"/>
              </w:rPr>
              <w:t>N/A</w:t>
            </w:r>
          </w:p>
        </w:tc>
        <w:tc>
          <w:tcPr>
            <w:tcW w:w="775" w:type="dxa"/>
            <w:tcBorders>
              <w:top w:val="nil"/>
              <w:left w:val="nil"/>
              <w:bottom w:val="single" w:sz="8" w:space="0" w:color="000000"/>
              <w:right w:val="single" w:sz="8" w:space="0" w:color="000000"/>
            </w:tcBorders>
            <w:vAlign w:val="center"/>
            <w:hideMark/>
          </w:tcPr>
          <w:p w:rsidR="00A51A62" w:rsidRDefault="00A51A62" w:rsidP="003C3157">
            <w:pPr>
              <w:spacing w:after="0" w:line="240" w:lineRule="auto"/>
              <w:jc w:val="center"/>
              <w:rPr>
                <w:rFonts w:ascii="Times New Roman" w:hAnsi="Times New Roman"/>
                <w:color w:val="000000"/>
                <w:sz w:val="18"/>
                <w:szCs w:val="18"/>
              </w:rPr>
            </w:pPr>
            <w:r>
              <w:rPr>
                <w:rFonts w:ascii="Times New Roman" w:hAnsi="Times New Roman"/>
                <w:color w:val="000000"/>
                <w:sz w:val="18"/>
                <w:szCs w:val="18"/>
              </w:rPr>
              <w:t>Up to 100%</w:t>
            </w:r>
          </w:p>
        </w:tc>
        <w:tc>
          <w:tcPr>
            <w:tcW w:w="771" w:type="dxa"/>
            <w:tcBorders>
              <w:top w:val="nil"/>
              <w:left w:val="nil"/>
              <w:bottom w:val="single" w:sz="8" w:space="0" w:color="000000"/>
              <w:right w:val="single" w:sz="8" w:space="0" w:color="000000"/>
            </w:tcBorders>
            <w:vAlign w:val="center"/>
            <w:hideMark/>
          </w:tcPr>
          <w:p w:rsidR="00A51A62" w:rsidRDefault="00A51A62" w:rsidP="003C3157">
            <w:pPr>
              <w:spacing w:after="0" w:line="240" w:lineRule="auto"/>
              <w:jc w:val="center"/>
              <w:rPr>
                <w:rFonts w:ascii="Times New Roman" w:hAnsi="Times New Roman"/>
                <w:color w:val="000000"/>
                <w:sz w:val="18"/>
                <w:szCs w:val="18"/>
              </w:rPr>
            </w:pPr>
            <w:r>
              <w:rPr>
                <w:rFonts w:ascii="Times New Roman" w:hAnsi="Times New Roman"/>
                <w:color w:val="000000"/>
                <w:sz w:val="18"/>
                <w:szCs w:val="18"/>
              </w:rPr>
              <w:t>Up to 200%</w:t>
            </w:r>
          </w:p>
        </w:tc>
        <w:tc>
          <w:tcPr>
            <w:tcW w:w="771" w:type="dxa"/>
            <w:tcBorders>
              <w:top w:val="nil"/>
              <w:left w:val="nil"/>
              <w:bottom w:val="single" w:sz="8" w:space="0" w:color="000000"/>
              <w:right w:val="single" w:sz="8" w:space="0" w:color="000000"/>
            </w:tcBorders>
            <w:vAlign w:val="center"/>
            <w:hideMark/>
          </w:tcPr>
          <w:p w:rsidR="00A51A62" w:rsidRDefault="00A51A62" w:rsidP="003C3157">
            <w:pPr>
              <w:spacing w:after="0" w:line="240" w:lineRule="auto"/>
              <w:jc w:val="center"/>
              <w:rPr>
                <w:rFonts w:ascii="Times New Roman" w:hAnsi="Times New Roman"/>
                <w:color w:val="000000"/>
                <w:sz w:val="18"/>
                <w:szCs w:val="18"/>
              </w:rPr>
            </w:pPr>
            <w:r>
              <w:rPr>
                <w:rFonts w:ascii="Times New Roman" w:hAnsi="Times New Roman"/>
                <w:color w:val="000000"/>
                <w:sz w:val="18"/>
                <w:szCs w:val="18"/>
              </w:rPr>
              <w:t>Up to 400%</w:t>
            </w:r>
          </w:p>
        </w:tc>
      </w:tr>
      <w:tr w:rsidR="00A51A62" w:rsidTr="003C3157">
        <w:trPr>
          <w:trHeight w:val="720"/>
        </w:trPr>
        <w:tc>
          <w:tcPr>
            <w:tcW w:w="1865" w:type="dxa"/>
            <w:gridSpan w:val="2"/>
            <w:tcBorders>
              <w:top w:val="single" w:sz="8" w:space="0" w:color="000000"/>
              <w:left w:val="single" w:sz="8" w:space="0" w:color="000000"/>
              <w:bottom w:val="single" w:sz="8" w:space="0" w:color="000000"/>
              <w:right w:val="single" w:sz="8" w:space="0" w:color="000000"/>
            </w:tcBorders>
            <w:vAlign w:val="center"/>
            <w:hideMark/>
          </w:tcPr>
          <w:p w:rsidR="00A51A62" w:rsidRDefault="00A51A62" w:rsidP="003C3157">
            <w:pPr>
              <w:spacing w:after="0" w:line="240" w:lineRule="auto"/>
              <w:rPr>
                <w:rFonts w:ascii="Times New Roman" w:hAnsi="Times New Roman"/>
                <w:color w:val="000000"/>
                <w:sz w:val="18"/>
                <w:szCs w:val="18"/>
              </w:rPr>
            </w:pPr>
            <w:r>
              <w:rPr>
                <w:rFonts w:ascii="Times New Roman" w:hAnsi="Times New Roman"/>
                <w:color w:val="000000"/>
                <w:sz w:val="18"/>
                <w:szCs w:val="18"/>
              </w:rPr>
              <w:t>Underground Accessory Parking and Loading (§ 14-702(9))</w:t>
            </w:r>
          </w:p>
        </w:tc>
        <w:tc>
          <w:tcPr>
            <w:tcW w:w="760" w:type="dxa"/>
            <w:tcBorders>
              <w:top w:val="nil"/>
              <w:left w:val="nil"/>
              <w:bottom w:val="single" w:sz="8" w:space="0" w:color="000000"/>
              <w:right w:val="single" w:sz="8" w:space="0" w:color="000000"/>
            </w:tcBorders>
            <w:vAlign w:val="center"/>
            <w:hideMark/>
          </w:tcPr>
          <w:p w:rsidR="00A51A62" w:rsidRDefault="00A51A62" w:rsidP="003C3157">
            <w:pPr>
              <w:spacing w:after="0" w:line="240" w:lineRule="auto"/>
              <w:jc w:val="center"/>
              <w:rPr>
                <w:rFonts w:ascii="Times New Roman" w:hAnsi="Times New Roman"/>
                <w:bCs/>
                <w:i/>
                <w:iCs/>
                <w:color w:val="000000"/>
                <w:sz w:val="18"/>
                <w:szCs w:val="18"/>
              </w:rPr>
            </w:pPr>
            <w:r>
              <w:rPr>
                <w:rFonts w:ascii="Times New Roman" w:hAnsi="Times New Roman"/>
                <w:bCs/>
                <w:i/>
                <w:iCs/>
                <w:color w:val="000000"/>
                <w:sz w:val="18"/>
                <w:szCs w:val="18"/>
              </w:rPr>
              <w:t>N/A</w:t>
            </w:r>
          </w:p>
        </w:tc>
        <w:tc>
          <w:tcPr>
            <w:tcW w:w="770" w:type="dxa"/>
            <w:tcBorders>
              <w:top w:val="nil"/>
              <w:left w:val="nil"/>
              <w:bottom w:val="single" w:sz="8" w:space="0" w:color="000000"/>
              <w:right w:val="single" w:sz="8" w:space="0" w:color="000000"/>
            </w:tcBorders>
            <w:vAlign w:val="center"/>
            <w:hideMark/>
          </w:tcPr>
          <w:p w:rsidR="00A51A62" w:rsidRDefault="00A51A62" w:rsidP="003C3157">
            <w:pPr>
              <w:spacing w:after="0" w:line="240" w:lineRule="auto"/>
              <w:jc w:val="center"/>
              <w:rPr>
                <w:rFonts w:ascii="Times New Roman" w:hAnsi="Times New Roman"/>
                <w:bCs/>
                <w:i/>
                <w:iCs/>
                <w:color w:val="000000"/>
                <w:sz w:val="18"/>
                <w:szCs w:val="18"/>
              </w:rPr>
            </w:pPr>
            <w:r>
              <w:rPr>
                <w:rFonts w:ascii="Times New Roman" w:hAnsi="Times New Roman"/>
                <w:bCs/>
                <w:i/>
                <w:iCs/>
                <w:color w:val="000000"/>
                <w:sz w:val="18"/>
                <w:szCs w:val="18"/>
              </w:rPr>
              <w:t>N/A</w:t>
            </w:r>
          </w:p>
        </w:tc>
        <w:tc>
          <w:tcPr>
            <w:tcW w:w="1103" w:type="dxa"/>
            <w:tcBorders>
              <w:top w:val="nil"/>
              <w:left w:val="nil"/>
              <w:bottom w:val="single" w:sz="8" w:space="0" w:color="000000"/>
              <w:right w:val="single" w:sz="8" w:space="0" w:color="000000"/>
            </w:tcBorders>
            <w:vAlign w:val="center"/>
            <w:hideMark/>
          </w:tcPr>
          <w:p w:rsidR="00A51A62" w:rsidRDefault="00A51A62" w:rsidP="003C3157">
            <w:pPr>
              <w:spacing w:after="0" w:line="240" w:lineRule="auto"/>
              <w:jc w:val="center"/>
              <w:rPr>
                <w:rFonts w:ascii="Times New Roman" w:hAnsi="Times New Roman"/>
                <w:i/>
                <w:iCs/>
                <w:sz w:val="18"/>
                <w:szCs w:val="18"/>
              </w:rPr>
            </w:pPr>
            <w:r>
              <w:rPr>
                <w:rFonts w:ascii="Times New Roman" w:hAnsi="Times New Roman"/>
                <w:bCs/>
                <w:i/>
                <w:iCs/>
                <w:sz w:val="18"/>
                <w:szCs w:val="18"/>
              </w:rPr>
              <w:t>N/A</w:t>
            </w:r>
          </w:p>
        </w:tc>
        <w:tc>
          <w:tcPr>
            <w:tcW w:w="770" w:type="dxa"/>
            <w:tcBorders>
              <w:top w:val="nil"/>
              <w:left w:val="nil"/>
              <w:bottom w:val="single" w:sz="8" w:space="0" w:color="000000"/>
              <w:right w:val="single" w:sz="8" w:space="0" w:color="000000"/>
            </w:tcBorders>
            <w:vAlign w:val="center"/>
            <w:hideMark/>
          </w:tcPr>
          <w:p w:rsidR="00A51A62" w:rsidRDefault="00A51A62" w:rsidP="003C3157">
            <w:pPr>
              <w:spacing w:after="0" w:line="240" w:lineRule="auto"/>
              <w:jc w:val="center"/>
              <w:rPr>
                <w:rFonts w:ascii="Times New Roman" w:hAnsi="Times New Roman"/>
                <w:bCs/>
                <w:i/>
                <w:iCs/>
                <w:color w:val="000000"/>
                <w:sz w:val="18"/>
                <w:szCs w:val="18"/>
              </w:rPr>
            </w:pPr>
            <w:r>
              <w:rPr>
                <w:rFonts w:ascii="Times New Roman" w:hAnsi="Times New Roman"/>
                <w:bCs/>
                <w:i/>
                <w:iCs/>
                <w:color w:val="000000"/>
                <w:sz w:val="18"/>
                <w:szCs w:val="18"/>
              </w:rPr>
              <w:t>N/A</w:t>
            </w:r>
          </w:p>
        </w:tc>
        <w:tc>
          <w:tcPr>
            <w:tcW w:w="770" w:type="dxa"/>
            <w:tcBorders>
              <w:top w:val="nil"/>
              <w:left w:val="nil"/>
              <w:bottom w:val="single" w:sz="8" w:space="0" w:color="000000"/>
              <w:right w:val="single" w:sz="8" w:space="0" w:color="000000"/>
            </w:tcBorders>
            <w:vAlign w:val="center"/>
            <w:hideMark/>
          </w:tcPr>
          <w:p w:rsidR="00A51A62" w:rsidRDefault="00A51A62" w:rsidP="003C3157">
            <w:pPr>
              <w:spacing w:after="0" w:line="240" w:lineRule="auto"/>
              <w:jc w:val="center"/>
              <w:rPr>
                <w:rFonts w:ascii="Times New Roman" w:hAnsi="Times New Roman"/>
                <w:bCs/>
                <w:i/>
                <w:iCs/>
                <w:color w:val="000000"/>
                <w:sz w:val="18"/>
                <w:szCs w:val="18"/>
              </w:rPr>
            </w:pPr>
            <w:r>
              <w:rPr>
                <w:rFonts w:ascii="Times New Roman" w:hAnsi="Times New Roman"/>
                <w:bCs/>
                <w:i/>
                <w:iCs/>
                <w:color w:val="000000"/>
                <w:sz w:val="18"/>
                <w:szCs w:val="18"/>
              </w:rPr>
              <w:t>N/A</w:t>
            </w:r>
          </w:p>
        </w:tc>
        <w:tc>
          <w:tcPr>
            <w:tcW w:w="774" w:type="dxa"/>
            <w:tcBorders>
              <w:top w:val="nil"/>
              <w:left w:val="nil"/>
              <w:bottom w:val="single" w:sz="8" w:space="0" w:color="000000"/>
              <w:right w:val="single" w:sz="8" w:space="0" w:color="000000"/>
            </w:tcBorders>
            <w:vAlign w:val="center"/>
            <w:hideMark/>
          </w:tcPr>
          <w:p w:rsidR="00A51A62" w:rsidRDefault="00A51A62" w:rsidP="003C3157">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100%</w:t>
            </w:r>
          </w:p>
        </w:tc>
        <w:tc>
          <w:tcPr>
            <w:tcW w:w="791" w:type="dxa"/>
            <w:tcBorders>
              <w:top w:val="nil"/>
              <w:left w:val="nil"/>
              <w:bottom w:val="single" w:sz="8" w:space="0" w:color="000000"/>
              <w:right w:val="single" w:sz="8" w:space="0" w:color="000000"/>
            </w:tcBorders>
            <w:vAlign w:val="center"/>
            <w:hideMark/>
          </w:tcPr>
          <w:p w:rsidR="00A51A62" w:rsidRDefault="00A51A62" w:rsidP="003C3157">
            <w:pPr>
              <w:spacing w:after="0" w:line="240" w:lineRule="auto"/>
              <w:jc w:val="center"/>
              <w:rPr>
                <w:rFonts w:ascii="Times New Roman" w:hAnsi="Times New Roman"/>
                <w:color w:val="000000"/>
                <w:sz w:val="18"/>
                <w:szCs w:val="18"/>
              </w:rPr>
            </w:pPr>
            <w:r>
              <w:rPr>
                <w:rFonts w:ascii="Times New Roman" w:hAnsi="Times New Roman"/>
                <w:color w:val="000000"/>
                <w:sz w:val="18"/>
                <w:szCs w:val="18"/>
              </w:rPr>
              <w:t>N/A</w:t>
            </w:r>
          </w:p>
        </w:tc>
        <w:tc>
          <w:tcPr>
            <w:tcW w:w="775" w:type="dxa"/>
            <w:tcBorders>
              <w:top w:val="nil"/>
              <w:left w:val="nil"/>
              <w:bottom w:val="single" w:sz="8" w:space="0" w:color="000000"/>
              <w:right w:val="single" w:sz="8" w:space="0" w:color="000000"/>
            </w:tcBorders>
            <w:vAlign w:val="center"/>
            <w:hideMark/>
          </w:tcPr>
          <w:p w:rsidR="00A51A62" w:rsidRDefault="00A51A62" w:rsidP="003C3157">
            <w:pPr>
              <w:spacing w:after="0" w:line="240" w:lineRule="auto"/>
              <w:jc w:val="center"/>
              <w:rPr>
                <w:rFonts w:ascii="Times New Roman" w:hAnsi="Times New Roman"/>
                <w:color w:val="000000"/>
                <w:sz w:val="18"/>
                <w:szCs w:val="18"/>
              </w:rPr>
            </w:pPr>
            <w:r>
              <w:rPr>
                <w:rFonts w:ascii="Times New Roman" w:hAnsi="Times New Roman"/>
                <w:color w:val="000000"/>
                <w:sz w:val="18"/>
                <w:szCs w:val="18"/>
              </w:rPr>
              <w:t>50%</w:t>
            </w:r>
          </w:p>
        </w:tc>
        <w:tc>
          <w:tcPr>
            <w:tcW w:w="771" w:type="dxa"/>
            <w:tcBorders>
              <w:top w:val="nil"/>
              <w:left w:val="nil"/>
              <w:bottom w:val="single" w:sz="8" w:space="0" w:color="000000"/>
              <w:right w:val="single" w:sz="8" w:space="0" w:color="000000"/>
            </w:tcBorders>
            <w:vAlign w:val="center"/>
            <w:hideMark/>
          </w:tcPr>
          <w:p w:rsidR="00A51A62" w:rsidRDefault="00A51A62" w:rsidP="003C3157">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200%</w:t>
            </w:r>
          </w:p>
        </w:tc>
        <w:tc>
          <w:tcPr>
            <w:tcW w:w="771" w:type="dxa"/>
            <w:tcBorders>
              <w:top w:val="nil"/>
              <w:left w:val="nil"/>
              <w:bottom w:val="single" w:sz="8" w:space="0" w:color="000000"/>
              <w:right w:val="single" w:sz="8" w:space="0" w:color="000000"/>
            </w:tcBorders>
            <w:vAlign w:val="center"/>
            <w:hideMark/>
          </w:tcPr>
          <w:p w:rsidR="00A51A62" w:rsidRDefault="00A51A62" w:rsidP="003C3157">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200%</w:t>
            </w:r>
          </w:p>
        </w:tc>
      </w:tr>
      <w:tr w:rsidR="00A51A62" w:rsidTr="003C3157">
        <w:trPr>
          <w:trHeight w:val="480"/>
        </w:trPr>
        <w:tc>
          <w:tcPr>
            <w:tcW w:w="1865" w:type="dxa"/>
            <w:gridSpan w:val="2"/>
            <w:tcBorders>
              <w:top w:val="single" w:sz="8" w:space="0" w:color="000000"/>
              <w:left w:val="single" w:sz="8" w:space="0" w:color="000000"/>
              <w:bottom w:val="single" w:sz="8" w:space="0" w:color="000000"/>
              <w:right w:val="single" w:sz="8" w:space="0" w:color="000000"/>
            </w:tcBorders>
            <w:vAlign w:val="center"/>
            <w:hideMark/>
          </w:tcPr>
          <w:p w:rsidR="00A51A62" w:rsidRDefault="00A51A62" w:rsidP="003C3157">
            <w:pPr>
              <w:spacing w:after="0" w:line="240" w:lineRule="auto"/>
              <w:rPr>
                <w:rFonts w:ascii="Times New Roman" w:hAnsi="Times New Roman"/>
                <w:color w:val="000000"/>
                <w:sz w:val="18"/>
                <w:szCs w:val="18"/>
              </w:rPr>
            </w:pPr>
            <w:r>
              <w:rPr>
                <w:rFonts w:ascii="Times New Roman" w:hAnsi="Times New Roman"/>
                <w:color w:val="000000"/>
                <w:sz w:val="18"/>
                <w:szCs w:val="18"/>
              </w:rPr>
              <w:t>Green Building (§ 14-702(10))</w:t>
            </w:r>
          </w:p>
        </w:tc>
        <w:tc>
          <w:tcPr>
            <w:tcW w:w="760" w:type="dxa"/>
            <w:tcBorders>
              <w:top w:val="nil"/>
              <w:left w:val="nil"/>
              <w:bottom w:val="single" w:sz="8" w:space="0" w:color="000000"/>
              <w:right w:val="single" w:sz="8" w:space="0" w:color="000000"/>
            </w:tcBorders>
            <w:vAlign w:val="center"/>
            <w:hideMark/>
          </w:tcPr>
          <w:p w:rsidR="00A51A62" w:rsidRDefault="00A51A62" w:rsidP="003C3157">
            <w:pPr>
              <w:spacing w:after="0" w:line="240" w:lineRule="auto"/>
              <w:jc w:val="center"/>
              <w:rPr>
                <w:rFonts w:ascii="Times New Roman" w:hAnsi="Times New Roman"/>
                <w:bCs/>
                <w:i/>
                <w:iCs/>
                <w:color w:val="000000"/>
                <w:sz w:val="18"/>
                <w:szCs w:val="18"/>
              </w:rPr>
            </w:pPr>
            <w:r>
              <w:rPr>
                <w:rFonts w:ascii="Times New Roman" w:hAnsi="Times New Roman"/>
                <w:bCs/>
                <w:i/>
                <w:iCs/>
                <w:color w:val="000000"/>
                <w:sz w:val="18"/>
                <w:szCs w:val="18"/>
              </w:rPr>
              <w:t>N/A</w:t>
            </w:r>
          </w:p>
        </w:tc>
        <w:tc>
          <w:tcPr>
            <w:tcW w:w="770" w:type="dxa"/>
            <w:tcBorders>
              <w:top w:val="nil"/>
              <w:left w:val="nil"/>
              <w:bottom w:val="single" w:sz="8" w:space="0" w:color="000000"/>
              <w:right w:val="single" w:sz="8" w:space="0" w:color="000000"/>
            </w:tcBorders>
            <w:vAlign w:val="center"/>
            <w:hideMark/>
          </w:tcPr>
          <w:p w:rsidR="00A51A62" w:rsidRDefault="00A51A62" w:rsidP="003C3157">
            <w:pPr>
              <w:spacing w:after="0" w:line="240" w:lineRule="auto"/>
              <w:jc w:val="center"/>
              <w:rPr>
                <w:rFonts w:ascii="Times New Roman" w:hAnsi="Times New Roman"/>
                <w:bCs/>
                <w:i/>
                <w:iCs/>
                <w:color w:val="000000"/>
                <w:sz w:val="18"/>
                <w:szCs w:val="18"/>
              </w:rPr>
            </w:pPr>
            <w:r>
              <w:rPr>
                <w:rFonts w:ascii="Times New Roman" w:hAnsi="Times New Roman"/>
                <w:bCs/>
                <w:i/>
                <w:iCs/>
                <w:color w:val="000000"/>
                <w:sz w:val="18"/>
                <w:szCs w:val="18"/>
              </w:rPr>
              <w:t>N/A</w:t>
            </w:r>
          </w:p>
        </w:tc>
        <w:tc>
          <w:tcPr>
            <w:tcW w:w="1103" w:type="dxa"/>
            <w:tcBorders>
              <w:top w:val="nil"/>
              <w:left w:val="nil"/>
              <w:bottom w:val="single" w:sz="8" w:space="0" w:color="000000"/>
              <w:right w:val="single" w:sz="8" w:space="0" w:color="000000"/>
            </w:tcBorders>
            <w:vAlign w:val="center"/>
            <w:hideMark/>
          </w:tcPr>
          <w:p w:rsidR="00A51A62" w:rsidRDefault="00A51A62" w:rsidP="003C3157">
            <w:pPr>
              <w:spacing w:after="0" w:line="240" w:lineRule="auto"/>
              <w:jc w:val="center"/>
              <w:rPr>
                <w:rFonts w:ascii="Times New Roman" w:hAnsi="Times New Roman"/>
                <w:i/>
                <w:iCs/>
                <w:sz w:val="18"/>
                <w:szCs w:val="18"/>
              </w:rPr>
            </w:pPr>
            <w:r>
              <w:rPr>
                <w:rFonts w:ascii="Times New Roman" w:hAnsi="Times New Roman"/>
                <w:bCs/>
                <w:i/>
                <w:iCs/>
                <w:sz w:val="18"/>
                <w:szCs w:val="18"/>
              </w:rPr>
              <w:t>N/A</w:t>
            </w:r>
          </w:p>
        </w:tc>
        <w:tc>
          <w:tcPr>
            <w:tcW w:w="770" w:type="dxa"/>
            <w:tcBorders>
              <w:top w:val="nil"/>
              <w:left w:val="nil"/>
              <w:bottom w:val="single" w:sz="8" w:space="0" w:color="000000"/>
              <w:right w:val="single" w:sz="8" w:space="0" w:color="000000"/>
            </w:tcBorders>
            <w:vAlign w:val="center"/>
            <w:hideMark/>
          </w:tcPr>
          <w:p w:rsidR="00A51A62" w:rsidRDefault="00A51A62" w:rsidP="003C3157">
            <w:pPr>
              <w:spacing w:after="0" w:line="240" w:lineRule="auto"/>
              <w:jc w:val="center"/>
              <w:rPr>
                <w:rFonts w:ascii="Times New Roman" w:hAnsi="Times New Roman"/>
                <w:bCs/>
                <w:i/>
                <w:iCs/>
                <w:color w:val="000000"/>
                <w:sz w:val="18"/>
                <w:szCs w:val="18"/>
              </w:rPr>
            </w:pPr>
            <w:r>
              <w:rPr>
                <w:rFonts w:ascii="Times New Roman" w:hAnsi="Times New Roman"/>
                <w:bCs/>
                <w:i/>
                <w:iCs/>
                <w:color w:val="000000"/>
                <w:sz w:val="18"/>
                <w:szCs w:val="18"/>
              </w:rPr>
              <w:t>N/A</w:t>
            </w:r>
          </w:p>
        </w:tc>
        <w:tc>
          <w:tcPr>
            <w:tcW w:w="770" w:type="dxa"/>
            <w:tcBorders>
              <w:top w:val="nil"/>
              <w:left w:val="nil"/>
              <w:bottom w:val="single" w:sz="8" w:space="0" w:color="000000"/>
              <w:right w:val="single" w:sz="8" w:space="0" w:color="000000"/>
            </w:tcBorders>
            <w:vAlign w:val="center"/>
            <w:hideMark/>
          </w:tcPr>
          <w:p w:rsidR="00A51A62" w:rsidRDefault="00A51A62" w:rsidP="003C3157">
            <w:pPr>
              <w:spacing w:after="0" w:line="240" w:lineRule="auto"/>
              <w:jc w:val="center"/>
              <w:rPr>
                <w:rFonts w:ascii="Times New Roman" w:hAnsi="Times New Roman"/>
                <w:bCs/>
                <w:i/>
                <w:iCs/>
                <w:color w:val="000000"/>
                <w:sz w:val="18"/>
                <w:szCs w:val="18"/>
              </w:rPr>
            </w:pPr>
            <w:r>
              <w:rPr>
                <w:rFonts w:ascii="Times New Roman" w:hAnsi="Times New Roman"/>
                <w:bCs/>
                <w:i/>
                <w:iCs/>
                <w:color w:val="000000"/>
                <w:sz w:val="18"/>
                <w:szCs w:val="18"/>
              </w:rPr>
              <w:t>N/A</w:t>
            </w:r>
          </w:p>
        </w:tc>
        <w:tc>
          <w:tcPr>
            <w:tcW w:w="774" w:type="dxa"/>
            <w:tcBorders>
              <w:top w:val="nil"/>
              <w:left w:val="nil"/>
              <w:bottom w:val="single" w:sz="8" w:space="0" w:color="000000"/>
              <w:right w:val="single" w:sz="8" w:space="0" w:color="000000"/>
            </w:tcBorders>
            <w:vAlign w:val="center"/>
            <w:hideMark/>
          </w:tcPr>
          <w:p w:rsidR="00A51A62" w:rsidRDefault="00A51A62" w:rsidP="003C3157">
            <w:pPr>
              <w:spacing w:after="0" w:line="240" w:lineRule="auto"/>
              <w:jc w:val="center"/>
              <w:rPr>
                <w:rFonts w:ascii="Times New Roman" w:hAnsi="Times New Roman"/>
                <w:color w:val="000000"/>
                <w:sz w:val="18"/>
                <w:szCs w:val="18"/>
              </w:rPr>
            </w:pPr>
            <w:r>
              <w:rPr>
                <w:rFonts w:ascii="Times New Roman" w:hAnsi="Times New Roman"/>
                <w:color w:val="000000"/>
                <w:sz w:val="18"/>
                <w:szCs w:val="18"/>
              </w:rPr>
              <w:t>N/A</w:t>
            </w:r>
          </w:p>
        </w:tc>
        <w:tc>
          <w:tcPr>
            <w:tcW w:w="791" w:type="dxa"/>
            <w:tcBorders>
              <w:top w:val="nil"/>
              <w:left w:val="nil"/>
              <w:bottom w:val="single" w:sz="8" w:space="0" w:color="000000"/>
              <w:right w:val="single" w:sz="8" w:space="0" w:color="000000"/>
            </w:tcBorders>
            <w:vAlign w:val="center"/>
            <w:hideMark/>
          </w:tcPr>
          <w:p w:rsidR="00A51A62" w:rsidRDefault="00A51A62" w:rsidP="003C3157">
            <w:pPr>
              <w:spacing w:after="0" w:line="240" w:lineRule="auto"/>
              <w:jc w:val="center"/>
              <w:rPr>
                <w:rFonts w:ascii="Times New Roman" w:hAnsi="Times New Roman"/>
                <w:color w:val="000000"/>
                <w:sz w:val="18"/>
                <w:szCs w:val="18"/>
              </w:rPr>
            </w:pPr>
            <w:r>
              <w:rPr>
                <w:rFonts w:ascii="Times New Roman" w:hAnsi="Times New Roman"/>
                <w:color w:val="000000"/>
                <w:sz w:val="18"/>
                <w:szCs w:val="18"/>
              </w:rPr>
              <w:t>Up to 100%</w:t>
            </w:r>
          </w:p>
        </w:tc>
        <w:tc>
          <w:tcPr>
            <w:tcW w:w="775" w:type="dxa"/>
            <w:tcBorders>
              <w:top w:val="nil"/>
              <w:left w:val="nil"/>
              <w:bottom w:val="single" w:sz="8" w:space="0" w:color="000000"/>
              <w:right w:val="single" w:sz="8" w:space="0" w:color="000000"/>
            </w:tcBorders>
            <w:vAlign w:val="center"/>
            <w:hideMark/>
          </w:tcPr>
          <w:p w:rsidR="00A51A62" w:rsidRDefault="00A51A62" w:rsidP="003C3157">
            <w:pPr>
              <w:spacing w:after="0" w:line="240" w:lineRule="auto"/>
              <w:jc w:val="center"/>
              <w:rPr>
                <w:rFonts w:ascii="Times New Roman" w:hAnsi="Times New Roman"/>
                <w:color w:val="000000"/>
                <w:sz w:val="18"/>
                <w:szCs w:val="18"/>
              </w:rPr>
            </w:pPr>
            <w:r>
              <w:rPr>
                <w:rFonts w:ascii="Times New Roman" w:hAnsi="Times New Roman"/>
                <w:color w:val="000000"/>
                <w:sz w:val="18"/>
                <w:szCs w:val="18"/>
              </w:rPr>
              <w:t>Up to 100%</w:t>
            </w:r>
          </w:p>
        </w:tc>
        <w:tc>
          <w:tcPr>
            <w:tcW w:w="771" w:type="dxa"/>
            <w:tcBorders>
              <w:top w:val="nil"/>
              <w:left w:val="nil"/>
              <w:bottom w:val="single" w:sz="8" w:space="0" w:color="000000"/>
              <w:right w:val="single" w:sz="8" w:space="0" w:color="000000"/>
            </w:tcBorders>
            <w:vAlign w:val="center"/>
            <w:hideMark/>
          </w:tcPr>
          <w:p w:rsidR="00A51A62" w:rsidRDefault="00A51A62" w:rsidP="003C3157">
            <w:pPr>
              <w:spacing w:after="0" w:line="240" w:lineRule="auto"/>
              <w:jc w:val="center"/>
              <w:rPr>
                <w:rFonts w:ascii="Times New Roman" w:hAnsi="Times New Roman"/>
                <w:color w:val="000000"/>
                <w:sz w:val="18"/>
                <w:szCs w:val="18"/>
              </w:rPr>
            </w:pPr>
            <w:r>
              <w:rPr>
                <w:rFonts w:ascii="Times New Roman" w:hAnsi="Times New Roman"/>
                <w:color w:val="000000"/>
                <w:sz w:val="18"/>
                <w:szCs w:val="18"/>
              </w:rPr>
              <w:t>Up to 200%</w:t>
            </w:r>
          </w:p>
        </w:tc>
        <w:tc>
          <w:tcPr>
            <w:tcW w:w="771" w:type="dxa"/>
            <w:tcBorders>
              <w:top w:val="nil"/>
              <w:left w:val="nil"/>
              <w:bottom w:val="single" w:sz="8" w:space="0" w:color="000000"/>
              <w:right w:val="single" w:sz="8" w:space="0" w:color="000000"/>
            </w:tcBorders>
            <w:vAlign w:val="center"/>
            <w:hideMark/>
          </w:tcPr>
          <w:p w:rsidR="00A51A62" w:rsidRDefault="00A51A62" w:rsidP="003C3157">
            <w:pPr>
              <w:spacing w:after="0" w:line="240" w:lineRule="auto"/>
              <w:jc w:val="center"/>
              <w:rPr>
                <w:rFonts w:ascii="Times New Roman" w:hAnsi="Times New Roman"/>
                <w:color w:val="000000"/>
                <w:sz w:val="18"/>
                <w:szCs w:val="18"/>
              </w:rPr>
            </w:pPr>
            <w:r>
              <w:rPr>
                <w:rFonts w:ascii="Times New Roman" w:hAnsi="Times New Roman"/>
                <w:color w:val="000000"/>
                <w:sz w:val="18"/>
                <w:szCs w:val="18"/>
              </w:rPr>
              <w:t>Up to 400%</w:t>
            </w:r>
          </w:p>
        </w:tc>
      </w:tr>
    </w:tbl>
    <w:p w:rsidR="00A51A62" w:rsidRDefault="00A51A62" w:rsidP="00A51A62">
      <w:pPr>
        <w:spacing w:after="0" w:line="300" w:lineRule="exact"/>
        <w:ind w:firstLine="720"/>
        <w:rPr>
          <w:rFonts w:ascii="Times New Roman" w:hAnsi="Times New Roman"/>
          <w:sz w:val="24"/>
          <w:szCs w:val="24"/>
        </w:rPr>
      </w:pPr>
    </w:p>
    <w:p w:rsidR="00A51A62" w:rsidRDefault="00A51A62" w:rsidP="00A51A62">
      <w:pPr>
        <w:shd w:val="clear" w:color="auto" w:fill="FFFFFF"/>
        <w:spacing w:after="180" w:line="240" w:lineRule="auto"/>
        <w:ind w:left="720"/>
        <w:rPr>
          <w:rFonts w:ascii="Times New Roman" w:hAnsi="Times New Roman"/>
          <w:color w:val="000000"/>
          <w:sz w:val="24"/>
          <w:szCs w:val="24"/>
        </w:rPr>
      </w:pPr>
      <w:r>
        <w:rPr>
          <w:rFonts w:ascii="Times New Roman" w:hAnsi="Times New Roman"/>
          <w:sz w:val="24"/>
          <w:szCs w:val="24"/>
        </w:rPr>
        <w:t xml:space="preserve"> (3.1) </w:t>
      </w:r>
      <w:r>
        <w:rPr>
          <w:rFonts w:ascii="Times New Roman" w:hAnsi="Times New Roman"/>
          <w:bCs/>
          <w:color w:val="000000"/>
          <w:sz w:val="24"/>
          <w:szCs w:val="24"/>
        </w:rPr>
        <w:t>Building Height Bonus Options Summary Table.</w:t>
      </w:r>
      <w:bookmarkStart w:id="1" w:name="text41"/>
      <w:bookmarkEnd w:id="1"/>
    </w:p>
    <w:p w:rsidR="00A51A62" w:rsidRDefault="00A51A62" w:rsidP="00A51A62">
      <w:pPr>
        <w:spacing w:after="180" w:line="240" w:lineRule="auto"/>
        <w:ind w:left="720"/>
        <w:rPr>
          <w:rFonts w:ascii="Times New Roman" w:hAnsi="Times New Roman"/>
          <w:color w:val="000000"/>
          <w:sz w:val="24"/>
          <w:szCs w:val="24"/>
        </w:rPr>
      </w:pPr>
      <w:r>
        <w:rPr>
          <w:rFonts w:ascii="Times New Roman" w:hAnsi="Times New Roman"/>
          <w:color w:val="000000"/>
          <w:sz w:val="24"/>
          <w:szCs w:val="24"/>
        </w:rPr>
        <w:t>The following table summarizes the building height bonus options in this section. In the event of conflict between the provisions of </w:t>
      </w:r>
      <w:r>
        <w:rPr>
          <w:rFonts w:ascii="Times New Roman" w:hAnsi="Times New Roman"/>
          <w:sz w:val="24"/>
          <w:szCs w:val="24"/>
        </w:rPr>
        <w:t>Table 14-702-2</w:t>
      </w:r>
      <w:r>
        <w:rPr>
          <w:rFonts w:ascii="Times New Roman" w:hAnsi="Times New Roman"/>
          <w:color w:val="000000"/>
          <w:sz w:val="24"/>
          <w:szCs w:val="24"/>
        </w:rPr>
        <w:t xml:space="preserve"> and the text of this Zoning Code, the text shall govern.  </w:t>
      </w:r>
      <w:bookmarkStart w:id="2" w:name="JD_Table14-702-2"/>
      <w:bookmarkEnd w:id="2"/>
    </w:p>
    <w:p w:rsidR="00A51A62" w:rsidRDefault="00A51A62" w:rsidP="00A51A62">
      <w:pPr>
        <w:spacing w:after="180" w:line="240" w:lineRule="auto"/>
        <w:jc w:val="center"/>
        <w:rPr>
          <w:rFonts w:ascii="Times New Roman" w:hAnsi="Times New Roman"/>
          <w:bCs/>
          <w:color w:val="000000"/>
          <w:sz w:val="24"/>
          <w:szCs w:val="24"/>
        </w:rPr>
      </w:pPr>
      <w:r>
        <w:rPr>
          <w:rFonts w:ascii="Times New Roman" w:hAnsi="Times New Roman"/>
          <w:bCs/>
          <w:color w:val="000000"/>
          <w:sz w:val="24"/>
          <w:szCs w:val="24"/>
        </w:rPr>
        <w:t>Table 14-702-2: Building Height Bonus Summary</w:t>
      </w:r>
    </w:p>
    <w:tbl>
      <w:tblPr>
        <w:tblW w:w="10540" w:type="dxa"/>
        <w:jc w:val="center"/>
        <w:tblLook w:val="04A0" w:firstRow="1" w:lastRow="0" w:firstColumn="1" w:lastColumn="0" w:noHBand="0" w:noVBand="1"/>
      </w:tblPr>
      <w:tblGrid>
        <w:gridCol w:w="2880"/>
        <w:gridCol w:w="2140"/>
        <w:gridCol w:w="1840"/>
        <w:gridCol w:w="1840"/>
        <w:gridCol w:w="1840"/>
      </w:tblGrid>
      <w:tr w:rsidR="00A51A62" w:rsidTr="003C3157">
        <w:trPr>
          <w:trHeight w:val="339"/>
          <w:jc w:val="center"/>
        </w:trPr>
        <w:tc>
          <w:tcPr>
            <w:tcW w:w="5020" w:type="dxa"/>
            <w:gridSpan w:val="2"/>
            <w:vMerge w:val="restart"/>
            <w:tcBorders>
              <w:top w:val="single" w:sz="4" w:space="0" w:color="000000"/>
              <w:left w:val="single" w:sz="4" w:space="0" w:color="000000"/>
              <w:bottom w:val="single" w:sz="4" w:space="0" w:color="000000"/>
              <w:right w:val="single" w:sz="4" w:space="0" w:color="000000"/>
            </w:tcBorders>
            <w:shd w:val="clear" w:color="auto" w:fill="CCCCCC"/>
            <w:vAlign w:val="bottom"/>
            <w:hideMark/>
          </w:tcPr>
          <w:p w:rsidR="00A51A62" w:rsidRDefault="00A51A62" w:rsidP="003C3157">
            <w:pPr>
              <w:spacing w:after="0" w:line="240" w:lineRule="auto"/>
              <w:rPr>
                <w:rFonts w:ascii="Times New Roman" w:hAnsi="Times New Roman"/>
                <w:bCs/>
              </w:rPr>
            </w:pPr>
            <w:r>
              <w:rPr>
                <w:rFonts w:ascii="Times New Roman" w:hAnsi="Times New Roman"/>
                <w:bCs/>
              </w:rPr>
              <w:t>Bonus Category</w:t>
            </w:r>
          </w:p>
        </w:tc>
        <w:tc>
          <w:tcPr>
            <w:tcW w:w="5520" w:type="dxa"/>
            <w:gridSpan w:val="3"/>
            <w:tcBorders>
              <w:top w:val="single" w:sz="4" w:space="0" w:color="000000"/>
              <w:left w:val="nil"/>
              <w:bottom w:val="single" w:sz="4" w:space="0" w:color="000000"/>
              <w:right w:val="single" w:sz="4" w:space="0" w:color="000000"/>
            </w:tcBorders>
            <w:shd w:val="clear" w:color="auto" w:fill="CCCCCC"/>
            <w:hideMark/>
          </w:tcPr>
          <w:p w:rsidR="00A51A62" w:rsidRDefault="00A51A62" w:rsidP="003C3157">
            <w:pPr>
              <w:spacing w:after="0" w:line="240" w:lineRule="auto"/>
              <w:rPr>
                <w:rFonts w:ascii="Times New Roman" w:hAnsi="Times New Roman"/>
                <w:bCs/>
              </w:rPr>
            </w:pPr>
            <w:r>
              <w:rPr>
                <w:rFonts w:ascii="Times New Roman" w:hAnsi="Times New Roman"/>
                <w:bCs/>
              </w:rPr>
              <w:t>Additional Building Height</w:t>
            </w:r>
          </w:p>
        </w:tc>
      </w:tr>
      <w:tr w:rsidR="00A51A62" w:rsidTr="003C3157">
        <w:trPr>
          <w:trHeight w:val="339"/>
          <w:jc w:val="center"/>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A51A62" w:rsidRDefault="00A51A62" w:rsidP="003C3157">
            <w:pPr>
              <w:spacing w:after="0" w:line="240" w:lineRule="auto"/>
              <w:rPr>
                <w:rFonts w:ascii="Times New Roman" w:hAnsi="Times New Roman"/>
                <w:bCs/>
              </w:rPr>
            </w:pPr>
          </w:p>
        </w:tc>
        <w:tc>
          <w:tcPr>
            <w:tcW w:w="1840" w:type="dxa"/>
            <w:tcBorders>
              <w:top w:val="nil"/>
              <w:left w:val="nil"/>
              <w:bottom w:val="single" w:sz="4" w:space="0" w:color="000000"/>
              <w:right w:val="single" w:sz="4" w:space="0" w:color="000000"/>
            </w:tcBorders>
            <w:shd w:val="clear" w:color="auto" w:fill="CCCCCC"/>
            <w:hideMark/>
          </w:tcPr>
          <w:p w:rsidR="00A51A62" w:rsidRDefault="00A51A62" w:rsidP="003C3157">
            <w:pPr>
              <w:spacing w:after="0" w:line="240" w:lineRule="auto"/>
              <w:jc w:val="center"/>
              <w:rPr>
                <w:rFonts w:ascii="Times New Roman" w:hAnsi="Times New Roman"/>
                <w:bCs/>
              </w:rPr>
            </w:pPr>
            <w:r>
              <w:rPr>
                <w:rFonts w:ascii="Times New Roman" w:hAnsi="Times New Roman"/>
                <w:bCs/>
              </w:rPr>
              <w:t>/CDO</w:t>
            </w:r>
          </w:p>
        </w:tc>
        <w:tc>
          <w:tcPr>
            <w:tcW w:w="1840" w:type="dxa"/>
            <w:tcBorders>
              <w:top w:val="nil"/>
              <w:left w:val="nil"/>
              <w:bottom w:val="single" w:sz="4" w:space="0" w:color="000000"/>
              <w:right w:val="single" w:sz="4" w:space="0" w:color="000000"/>
            </w:tcBorders>
            <w:shd w:val="clear" w:color="auto" w:fill="CCCCCC"/>
            <w:hideMark/>
          </w:tcPr>
          <w:p w:rsidR="00A51A62" w:rsidRDefault="00A51A62" w:rsidP="003C3157">
            <w:pPr>
              <w:spacing w:after="0" w:line="240" w:lineRule="auto"/>
              <w:jc w:val="center"/>
              <w:rPr>
                <w:rFonts w:ascii="Times New Roman" w:hAnsi="Times New Roman"/>
                <w:bCs/>
              </w:rPr>
            </w:pPr>
            <w:r>
              <w:rPr>
                <w:rFonts w:ascii="Times New Roman" w:hAnsi="Times New Roman"/>
                <w:bCs/>
              </w:rPr>
              <w:t>/ECO</w:t>
            </w:r>
          </w:p>
        </w:tc>
        <w:tc>
          <w:tcPr>
            <w:tcW w:w="1840" w:type="dxa"/>
            <w:tcBorders>
              <w:top w:val="nil"/>
              <w:left w:val="nil"/>
              <w:bottom w:val="single" w:sz="4" w:space="0" w:color="000000"/>
              <w:right w:val="single" w:sz="4" w:space="0" w:color="000000"/>
            </w:tcBorders>
            <w:shd w:val="clear" w:color="auto" w:fill="CCCCCC"/>
            <w:hideMark/>
          </w:tcPr>
          <w:p w:rsidR="00A51A62" w:rsidRDefault="00A51A62" w:rsidP="003C3157">
            <w:pPr>
              <w:spacing w:after="0" w:line="240" w:lineRule="auto"/>
              <w:jc w:val="center"/>
              <w:rPr>
                <w:rFonts w:ascii="Times New Roman" w:hAnsi="Times New Roman"/>
                <w:bCs/>
                <w:i/>
                <w:iCs/>
              </w:rPr>
            </w:pPr>
            <w:r>
              <w:rPr>
                <w:rFonts w:ascii="Times New Roman" w:hAnsi="Times New Roman"/>
                <w:bCs/>
                <w:i/>
                <w:iCs/>
              </w:rPr>
              <w:t>RM-1, CMX-1, CMX-2, CMX-2.5</w:t>
            </w:r>
          </w:p>
        </w:tc>
      </w:tr>
      <w:tr w:rsidR="00A51A62" w:rsidTr="003C3157">
        <w:trPr>
          <w:trHeight w:val="339"/>
          <w:jc w:val="center"/>
        </w:trPr>
        <w:tc>
          <w:tcPr>
            <w:tcW w:w="5020" w:type="dxa"/>
            <w:gridSpan w:val="2"/>
            <w:tcBorders>
              <w:top w:val="single" w:sz="4" w:space="0" w:color="000000"/>
              <w:left w:val="single" w:sz="4" w:space="0" w:color="000000"/>
              <w:bottom w:val="single" w:sz="4" w:space="0" w:color="000000"/>
              <w:right w:val="single" w:sz="4" w:space="0" w:color="000000"/>
            </w:tcBorders>
            <w:hideMark/>
          </w:tcPr>
          <w:p w:rsidR="00A51A62" w:rsidRDefault="00A51A62" w:rsidP="003C3157">
            <w:pPr>
              <w:spacing w:after="0" w:line="240" w:lineRule="auto"/>
              <w:rPr>
                <w:rFonts w:ascii="Times New Roman" w:hAnsi="Times New Roman"/>
              </w:rPr>
            </w:pPr>
            <w:r>
              <w:rPr>
                <w:rFonts w:ascii="Times New Roman" w:hAnsi="Times New Roman"/>
              </w:rPr>
              <w:t>Public Art (§ 14-702(5))</w:t>
            </w:r>
          </w:p>
        </w:tc>
        <w:tc>
          <w:tcPr>
            <w:tcW w:w="1840" w:type="dxa"/>
            <w:tcBorders>
              <w:top w:val="nil"/>
              <w:left w:val="nil"/>
              <w:bottom w:val="single" w:sz="4" w:space="0" w:color="000000"/>
              <w:right w:val="single" w:sz="4" w:space="0" w:color="000000"/>
            </w:tcBorders>
            <w:hideMark/>
          </w:tcPr>
          <w:p w:rsidR="00A51A62" w:rsidRDefault="00A51A62" w:rsidP="003C3157">
            <w:pPr>
              <w:spacing w:after="0" w:line="240" w:lineRule="auto"/>
              <w:jc w:val="center"/>
              <w:rPr>
                <w:rFonts w:ascii="Times New Roman" w:hAnsi="Times New Roman"/>
              </w:rPr>
            </w:pPr>
            <w:r>
              <w:rPr>
                <w:rFonts w:ascii="Times New Roman" w:hAnsi="Times New Roman"/>
              </w:rPr>
              <w:t>Up to 12 ft.</w:t>
            </w:r>
          </w:p>
        </w:tc>
        <w:tc>
          <w:tcPr>
            <w:tcW w:w="1840" w:type="dxa"/>
            <w:tcBorders>
              <w:top w:val="nil"/>
              <w:left w:val="nil"/>
              <w:bottom w:val="single" w:sz="4" w:space="0" w:color="000000"/>
              <w:right w:val="single" w:sz="4" w:space="0" w:color="000000"/>
            </w:tcBorders>
            <w:hideMark/>
          </w:tcPr>
          <w:p w:rsidR="00A51A62" w:rsidRDefault="00A51A62" w:rsidP="003C3157">
            <w:pPr>
              <w:spacing w:after="0" w:line="240" w:lineRule="auto"/>
              <w:jc w:val="center"/>
              <w:rPr>
                <w:rFonts w:ascii="Times New Roman" w:hAnsi="Times New Roman"/>
              </w:rPr>
            </w:pPr>
            <w:r>
              <w:rPr>
                <w:rFonts w:ascii="Times New Roman" w:hAnsi="Times New Roman"/>
              </w:rPr>
              <w:t>Up to 12 ft.</w:t>
            </w:r>
          </w:p>
        </w:tc>
        <w:tc>
          <w:tcPr>
            <w:tcW w:w="1840" w:type="dxa"/>
            <w:tcBorders>
              <w:top w:val="nil"/>
              <w:left w:val="nil"/>
              <w:bottom w:val="single" w:sz="4" w:space="0" w:color="000000"/>
              <w:right w:val="single" w:sz="4" w:space="0" w:color="000000"/>
            </w:tcBorders>
            <w:hideMark/>
          </w:tcPr>
          <w:p w:rsidR="00A51A62" w:rsidRDefault="00A51A62" w:rsidP="003C3157">
            <w:pPr>
              <w:spacing w:after="0" w:line="240" w:lineRule="auto"/>
              <w:jc w:val="center"/>
              <w:rPr>
                <w:rFonts w:ascii="Times New Roman" w:hAnsi="Times New Roman"/>
                <w:bCs/>
                <w:i/>
                <w:iCs/>
              </w:rPr>
            </w:pPr>
            <w:r>
              <w:rPr>
                <w:rFonts w:ascii="Times New Roman" w:hAnsi="Times New Roman"/>
                <w:bCs/>
                <w:i/>
                <w:iCs/>
              </w:rPr>
              <w:t>N/A</w:t>
            </w:r>
          </w:p>
        </w:tc>
      </w:tr>
      <w:tr w:rsidR="00A51A62" w:rsidTr="003C3157">
        <w:trPr>
          <w:trHeight w:val="339"/>
          <w:jc w:val="center"/>
        </w:trPr>
        <w:tc>
          <w:tcPr>
            <w:tcW w:w="5020" w:type="dxa"/>
            <w:gridSpan w:val="2"/>
            <w:tcBorders>
              <w:top w:val="single" w:sz="4" w:space="0" w:color="000000"/>
              <w:left w:val="single" w:sz="4" w:space="0" w:color="000000"/>
              <w:bottom w:val="single" w:sz="4" w:space="0" w:color="000000"/>
              <w:right w:val="single" w:sz="4" w:space="0" w:color="000000"/>
            </w:tcBorders>
            <w:hideMark/>
          </w:tcPr>
          <w:p w:rsidR="00A51A62" w:rsidRDefault="00A51A62" w:rsidP="003C3157">
            <w:pPr>
              <w:spacing w:after="0" w:line="240" w:lineRule="auto"/>
              <w:rPr>
                <w:rFonts w:ascii="Times New Roman" w:hAnsi="Times New Roman"/>
              </w:rPr>
            </w:pPr>
            <w:r>
              <w:rPr>
                <w:rFonts w:ascii="Times New Roman" w:hAnsi="Times New Roman"/>
              </w:rPr>
              <w:t>Public Space (§ 14-702(6))</w:t>
            </w:r>
          </w:p>
        </w:tc>
        <w:tc>
          <w:tcPr>
            <w:tcW w:w="1840" w:type="dxa"/>
            <w:tcBorders>
              <w:top w:val="nil"/>
              <w:left w:val="nil"/>
              <w:bottom w:val="single" w:sz="4" w:space="0" w:color="000000"/>
              <w:right w:val="single" w:sz="4" w:space="0" w:color="000000"/>
            </w:tcBorders>
            <w:hideMark/>
          </w:tcPr>
          <w:p w:rsidR="00A51A62" w:rsidRDefault="00A51A62" w:rsidP="003C3157">
            <w:pPr>
              <w:spacing w:after="0" w:line="240" w:lineRule="auto"/>
              <w:jc w:val="center"/>
              <w:rPr>
                <w:rFonts w:ascii="Times New Roman" w:hAnsi="Times New Roman"/>
              </w:rPr>
            </w:pPr>
            <w:r>
              <w:rPr>
                <w:rFonts w:ascii="Times New Roman" w:hAnsi="Times New Roman"/>
              </w:rPr>
              <w:t>Up to 24 ft.</w:t>
            </w:r>
          </w:p>
        </w:tc>
        <w:tc>
          <w:tcPr>
            <w:tcW w:w="1840" w:type="dxa"/>
            <w:tcBorders>
              <w:top w:val="nil"/>
              <w:left w:val="nil"/>
              <w:bottom w:val="single" w:sz="4" w:space="0" w:color="000000"/>
              <w:right w:val="single" w:sz="4" w:space="0" w:color="000000"/>
            </w:tcBorders>
            <w:hideMark/>
          </w:tcPr>
          <w:p w:rsidR="00A51A62" w:rsidRDefault="00A51A62" w:rsidP="003C3157">
            <w:pPr>
              <w:spacing w:after="0" w:line="240" w:lineRule="auto"/>
              <w:jc w:val="center"/>
              <w:rPr>
                <w:rFonts w:ascii="Times New Roman" w:hAnsi="Times New Roman"/>
              </w:rPr>
            </w:pPr>
            <w:r>
              <w:rPr>
                <w:rFonts w:ascii="Times New Roman" w:hAnsi="Times New Roman"/>
              </w:rPr>
              <w:t>Up to 24 ft.</w:t>
            </w:r>
          </w:p>
        </w:tc>
        <w:tc>
          <w:tcPr>
            <w:tcW w:w="1840" w:type="dxa"/>
            <w:tcBorders>
              <w:top w:val="nil"/>
              <w:left w:val="nil"/>
              <w:bottom w:val="single" w:sz="4" w:space="0" w:color="000000"/>
              <w:right w:val="single" w:sz="4" w:space="0" w:color="000000"/>
            </w:tcBorders>
            <w:hideMark/>
          </w:tcPr>
          <w:p w:rsidR="00A51A62" w:rsidRDefault="00A51A62" w:rsidP="003C3157">
            <w:pPr>
              <w:spacing w:after="0" w:line="240" w:lineRule="auto"/>
              <w:jc w:val="center"/>
              <w:rPr>
                <w:rFonts w:ascii="Times New Roman" w:hAnsi="Times New Roman"/>
                <w:bCs/>
                <w:i/>
                <w:iCs/>
              </w:rPr>
            </w:pPr>
            <w:r>
              <w:rPr>
                <w:rFonts w:ascii="Times New Roman" w:hAnsi="Times New Roman"/>
                <w:bCs/>
                <w:i/>
                <w:iCs/>
              </w:rPr>
              <w:t>N/A</w:t>
            </w:r>
          </w:p>
        </w:tc>
      </w:tr>
      <w:tr w:rsidR="00A51A62" w:rsidTr="003C3157">
        <w:trPr>
          <w:trHeight w:val="339"/>
          <w:jc w:val="center"/>
        </w:trPr>
        <w:tc>
          <w:tcPr>
            <w:tcW w:w="2880" w:type="dxa"/>
            <w:vMerge w:val="restart"/>
            <w:tcBorders>
              <w:top w:val="nil"/>
              <w:left w:val="single" w:sz="4" w:space="0" w:color="000000"/>
              <w:bottom w:val="single" w:sz="4" w:space="0" w:color="000000"/>
              <w:right w:val="single" w:sz="4" w:space="0" w:color="000000"/>
            </w:tcBorders>
            <w:hideMark/>
          </w:tcPr>
          <w:p w:rsidR="00A51A62" w:rsidRDefault="00A51A62" w:rsidP="003C3157">
            <w:pPr>
              <w:spacing w:after="0" w:line="240" w:lineRule="auto"/>
              <w:rPr>
                <w:rFonts w:ascii="Times New Roman" w:hAnsi="Times New Roman"/>
              </w:rPr>
            </w:pPr>
            <w:r>
              <w:rPr>
                <w:rFonts w:ascii="Times New Roman" w:hAnsi="Times New Roman"/>
              </w:rPr>
              <w:t>Mixed Income Housing (§ 14-702(7))</w:t>
            </w:r>
          </w:p>
        </w:tc>
        <w:tc>
          <w:tcPr>
            <w:tcW w:w="2140" w:type="dxa"/>
            <w:tcBorders>
              <w:top w:val="nil"/>
              <w:left w:val="nil"/>
              <w:bottom w:val="single" w:sz="4" w:space="0" w:color="000000"/>
              <w:right w:val="single" w:sz="4" w:space="0" w:color="000000"/>
            </w:tcBorders>
            <w:hideMark/>
          </w:tcPr>
          <w:p w:rsidR="00A51A62" w:rsidRDefault="00A51A62" w:rsidP="003C3157">
            <w:pPr>
              <w:spacing w:after="0" w:line="240" w:lineRule="auto"/>
              <w:rPr>
                <w:rFonts w:ascii="Times New Roman" w:hAnsi="Times New Roman"/>
              </w:rPr>
            </w:pPr>
            <w:r>
              <w:rPr>
                <w:rFonts w:ascii="Times New Roman" w:hAnsi="Times New Roman"/>
              </w:rPr>
              <w:t>Moderate Income</w:t>
            </w:r>
          </w:p>
        </w:tc>
        <w:tc>
          <w:tcPr>
            <w:tcW w:w="1840" w:type="dxa"/>
            <w:tcBorders>
              <w:top w:val="nil"/>
              <w:left w:val="nil"/>
              <w:bottom w:val="single" w:sz="4" w:space="0" w:color="000000"/>
              <w:right w:val="single" w:sz="4" w:space="0" w:color="000000"/>
            </w:tcBorders>
            <w:hideMark/>
          </w:tcPr>
          <w:p w:rsidR="00A51A62" w:rsidRDefault="00A51A62" w:rsidP="003C3157">
            <w:pPr>
              <w:spacing w:after="0" w:line="240" w:lineRule="auto"/>
              <w:jc w:val="center"/>
              <w:rPr>
                <w:rFonts w:ascii="Times New Roman" w:hAnsi="Times New Roman"/>
              </w:rPr>
            </w:pPr>
            <w:r>
              <w:rPr>
                <w:rFonts w:ascii="Times New Roman" w:hAnsi="Times New Roman"/>
              </w:rPr>
              <w:t>Up to 48 ft.</w:t>
            </w:r>
          </w:p>
        </w:tc>
        <w:tc>
          <w:tcPr>
            <w:tcW w:w="1840" w:type="dxa"/>
            <w:tcBorders>
              <w:top w:val="nil"/>
              <w:left w:val="nil"/>
              <w:bottom w:val="single" w:sz="4" w:space="0" w:color="000000"/>
              <w:right w:val="single" w:sz="4" w:space="0" w:color="000000"/>
            </w:tcBorders>
            <w:hideMark/>
          </w:tcPr>
          <w:p w:rsidR="00A51A62" w:rsidRDefault="00A51A62" w:rsidP="003C3157">
            <w:pPr>
              <w:spacing w:after="0" w:line="240" w:lineRule="auto"/>
              <w:jc w:val="center"/>
              <w:rPr>
                <w:rFonts w:ascii="Times New Roman" w:hAnsi="Times New Roman"/>
              </w:rPr>
            </w:pPr>
            <w:r>
              <w:rPr>
                <w:rFonts w:ascii="Times New Roman" w:hAnsi="Times New Roman"/>
              </w:rPr>
              <w:t>Up to 48 ft.</w:t>
            </w:r>
          </w:p>
        </w:tc>
        <w:tc>
          <w:tcPr>
            <w:tcW w:w="1840" w:type="dxa"/>
            <w:tcBorders>
              <w:top w:val="nil"/>
              <w:left w:val="nil"/>
              <w:bottom w:val="single" w:sz="4" w:space="0" w:color="000000"/>
              <w:right w:val="single" w:sz="4" w:space="0" w:color="000000"/>
            </w:tcBorders>
            <w:hideMark/>
          </w:tcPr>
          <w:p w:rsidR="00A51A62" w:rsidRDefault="00A51A62" w:rsidP="003C3157">
            <w:pPr>
              <w:spacing w:after="0" w:line="240" w:lineRule="auto"/>
              <w:jc w:val="center"/>
              <w:rPr>
                <w:rFonts w:ascii="Times New Roman" w:hAnsi="Times New Roman"/>
                <w:bCs/>
                <w:i/>
                <w:iCs/>
              </w:rPr>
            </w:pPr>
            <w:r>
              <w:rPr>
                <w:rFonts w:ascii="Times New Roman" w:hAnsi="Times New Roman"/>
                <w:bCs/>
                <w:i/>
                <w:iCs/>
              </w:rPr>
              <w:t>7 ft.</w:t>
            </w:r>
          </w:p>
        </w:tc>
      </w:tr>
      <w:tr w:rsidR="00A51A62" w:rsidTr="003C3157">
        <w:trPr>
          <w:trHeight w:val="339"/>
          <w:jc w:val="center"/>
        </w:trPr>
        <w:tc>
          <w:tcPr>
            <w:tcW w:w="0" w:type="auto"/>
            <w:vMerge/>
            <w:tcBorders>
              <w:top w:val="nil"/>
              <w:left w:val="single" w:sz="4" w:space="0" w:color="000000"/>
              <w:bottom w:val="single" w:sz="4" w:space="0" w:color="000000"/>
              <w:right w:val="single" w:sz="4" w:space="0" w:color="000000"/>
            </w:tcBorders>
            <w:vAlign w:val="center"/>
            <w:hideMark/>
          </w:tcPr>
          <w:p w:rsidR="00A51A62" w:rsidRDefault="00A51A62" w:rsidP="003C3157">
            <w:pPr>
              <w:spacing w:after="0" w:line="240" w:lineRule="auto"/>
              <w:rPr>
                <w:rFonts w:ascii="Times New Roman" w:hAnsi="Times New Roman"/>
              </w:rPr>
            </w:pPr>
          </w:p>
        </w:tc>
        <w:tc>
          <w:tcPr>
            <w:tcW w:w="2140" w:type="dxa"/>
            <w:tcBorders>
              <w:top w:val="nil"/>
              <w:left w:val="nil"/>
              <w:bottom w:val="single" w:sz="4" w:space="0" w:color="000000"/>
              <w:right w:val="single" w:sz="4" w:space="0" w:color="000000"/>
            </w:tcBorders>
            <w:hideMark/>
          </w:tcPr>
          <w:p w:rsidR="00A51A62" w:rsidRDefault="00A51A62" w:rsidP="003C3157">
            <w:pPr>
              <w:spacing w:after="0" w:line="240" w:lineRule="auto"/>
              <w:rPr>
                <w:rFonts w:ascii="Times New Roman" w:hAnsi="Times New Roman"/>
              </w:rPr>
            </w:pPr>
            <w:r>
              <w:rPr>
                <w:rFonts w:ascii="Times New Roman" w:hAnsi="Times New Roman"/>
              </w:rPr>
              <w:t>Low Income</w:t>
            </w:r>
          </w:p>
        </w:tc>
        <w:tc>
          <w:tcPr>
            <w:tcW w:w="1840" w:type="dxa"/>
            <w:tcBorders>
              <w:top w:val="nil"/>
              <w:left w:val="nil"/>
              <w:bottom w:val="single" w:sz="4" w:space="0" w:color="000000"/>
              <w:right w:val="single" w:sz="4" w:space="0" w:color="000000"/>
            </w:tcBorders>
            <w:hideMark/>
          </w:tcPr>
          <w:p w:rsidR="00A51A62" w:rsidRDefault="00A51A62" w:rsidP="003C3157">
            <w:pPr>
              <w:spacing w:after="0" w:line="240" w:lineRule="auto"/>
              <w:jc w:val="center"/>
              <w:rPr>
                <w:rFonts w:ascii="Times New Roman" w:hAnsi="Times New Roman"/>
              </w:rPr>
            </w:pPr>
            <w:r>
              <w:rPr>
                <w:rFonts w:ascii="Times New Roman" w:hAnsi="Times New Roman"/>
              </w:rPr>
              <w:t>Up to 60 ft.</w:t>
            </w:r>
          </w:p>
        </w:tc>
        <w:tc>
          <w:tcPr>
            <w:tcW w:w="1840" w:type="dxa"/>
            <w:tcBorders>
              <w:top w:val="nil"/>
              <w:left w:val="nil"/>
              <w:bottom w:val="single" w:sz="4" w:space="0" w:color="000000"/>
              <w:right w:val="single" w:sz="4" w:space="0" w:color="000000"/>
            </w:tcBorders>
            <w:hideMark/>
          </w:tcPr>
          <w:p w:rsidR="00A51A62" w:rsidRDefault="00A51A62" w:rsidP="003C3157">
            <w:pPr>
              <w:spacing w:after="0" w:line="240" w:lineRule="auto"/>
              <w:jc w:val="center"/>
              <w:rPr>
                <w:rFonts w:ascii="Times New Roman" w:hAnsi="Times New Roman"/>
              </w:rPr>
            </w:pPr>
            <w:r>
              <w:rPr>
                <w:rFonts w:ascii="Times New Roman" w:hAnsi="Times New Roman"/>
              </w:rPr>
              <w:t>Up to 60 ft.</w:t>
            </w:r>
          </w:p>
        </w:tc>
        <w:tc>
          <w:tcPr>
            <w:tcW w:w="1840" w:type="dxa"/>
            <w:tcBorders>
              <w:top w:val="nil"/>
              <w:left w:val="nil"/>
              <w:bottom w:val="single" w:sz="4" w:space="0" w:color="000000"/>
              <w:right w:val="single" w:sz="4" w:space="0" w:color="000000"/>
            </w:tcBorders>
            <w:hideMark/>
          </w:tcPr>
          <w:p w:rsidR="00A51A62" w:rsidRDefault="00A51A62" w:rsidP="003C3157">
            <w:pPr>
              <w:spacing w:after="0" w:line="240" w:lineRule="auto"/>
              <w:jc w:val="center"/>
              <w:rPr>
                <w:rFonts w:ascii="Times New Roman" w:hAnsi="Times New Roman"/>
                <w:bCs/>
                <w:i/>
                <w:iCs/>
              </w:rPr>
            </w:pPr>
            <w:r>
              <w:rPr>
                <w:rFonts w:ascii="Times New Roman" w:hAnsi="Times New Roman"/>
                <w:bCs/>
                <w:i/>
                <w:iCs/>
              </w:rPr>
              <w:t>7 ft.</w:t>
            </w:r>
          </w:p>
        </w:tc>
      </w:tr>
      <w:tr w:rsidR="00A51A62" w:rsidTr="003C3157">
        <w:trPr>
          <w:trHeight w:val="339"/>
          <w:jc w:val="center"/>
        </w:trPr>
        <w:tc>
          <w:tcPr>
            <w:tcW w:w="5020" w:type="dxa"/>
            <w:gridSpan w:val="2"/>
            <w:tcBorders>
              <w:top w:val="single" w:sz="4" w:space="0" w:color="000000"/>
              <w:left w:val="single" w:sz="4" w:space="0" w:color="000000"/>
              <w:bottom w:val="single" w:sz="4" w:space="0" w:color="000000"/>
              <w:right w:val="single" w:sz="4" w:space="0" w:color="000000"/>
            </w:tcBorders>
            <w:hideMark/>
          </w:tcPr>
          <w:p w:rsidR="00A51A62" w:rsidRDefault="00A51A62" w:rsidP="003C3157">
            <w:pPr>
              <w:spacing w:after="0" w:line="240" w:lineRule="auto"/>
              <w:rPr>
                <w:rFonts w:ascii="Times New Roman" w:hAnsi="Times New Roman"/>
              </w:rPr>
            </w:pPr>
            <w:r>
              <w:rPr>
                <w:rFonts w:ascii="Times New Roman" w:hAnsi="Times New Roman"/>
              </w:rPr>
              <w:t>Transit Improvements (§ 14-702(8))</w:t>
            </w:r>
          </w:p>
        </w:tc>
        <w:tc>
          <w:tcPr>
            <w:tcW w:w="1840" w:type="dxa"/>
            <w:tcBorders>
              <w:top w:val="nil"/>
              <w:left w:val="nil"/>
              <w:bottom w:val="single" w:sz="4" w:space="0" w:color="000000"/>
              <w:right w:val="single" w:sz="4" w:space="0" w:color="000000"/>
            </w:tcBorders>
            <w:hideMark/>
          </w:tcPr>
          <w:p w:rsidR="00A51A62" w:rsidRDefault="00A51A62" w:rsidP="003C3157">
            <w:pPr>
              <w:spacing w:after="0" w:line="240" w:lineRule="auto"/>
              <w:jc w:val="center"/>
              <w:rPr>
                <w:rFonts w:ascii="Times New Roman" w:hAnsi="Times New Roman"/>
              </w:rPr>
            </w:pPr>
            <w:r>
              <w:rPr>
                <w:rFonts w:ascii="Times New Roman" w:hAnsi="Times New Roman"/>
              </w:rPr>
              <w:t>Up to 72 ft.</w:t>
            </w:r>
          </w:p>
        </w:tc>
        <w:tc>
          <w:tcPr>
            <w:tcW w:w="1840" w:type="dxa"/>
            <w:tcBorders>
              <w:top w:val="nil"/>
              <w:left w:val="nil"/>
              <w:bottom w:val="single" w:sz="4" w:space="0" w:color="000000"/>
              <w:right w:val="single" w:sz="4" w:space="0" w:color="000000"/>
            </w:tcBorders>
            <w:hideMark/>
          </w:tcPr>
          <w:p w:rsidR="00A51A62" w:rsidRDefault="00A51A62" w:rsidP="003C3157">
            <w:pPr>
              <w:spacing w:after="0" w:line="240" w:lineRule="auto"/>
              <w:jc w:val="center"/>
              <w:rPr>
                <w:rFonts w:ascii="Times New Roman" w:hAnsi="Times New Roman"/>
              </w:rPr>
            </w:pPr>
            <w:r>
              <w:rPr>
                <w:rFonts w:ascii="Times New Roman" w:hAnsi="Times New Roman"/>
              </w:rPr>
              <w:t>N/A</w:t>
            </w:r>
          </w:p>
        </w:tc>
        <w:tc>
          <w:tcPr>
            <w:tcW w:w="1840" w:type="dxa"/>
            <w:tcBorders>
              <w:top w:val="nil"/>
              <w:left w:val="nil"/>
              <w:bottom w:val="single" w:sz="4" w:space="0" w:color="000000"/>
              <w:right w:val="single" w:sz="4" w:space="0" w:color="000000"/>
            </w:tcBorders>
            <w:hideMark/>
          </w:tcPr>
          <w:p w:rsidR="00A51A62" w:rsidRDefault="00A51A62" w:rsidP="003C3157">
            <w:pPr>
              <w:spacing w:after="0" w:line="240" w:lineRule="auto"/>
              <w:jc w:val="center"/>
              <w:rPr>
                <w:rFonts w:ascii="Times New Roman" w:hAnsi="Times New Roman"/>
                <w:bCs/>
                <w:i/>
                <w:iCs/>
              </w:rPr>
            </w:pPr>
            <w:r>
              <w:rPr>
                <w:rFonts w:ascii="Times New Roman" w:hAnsi="Times New Roman"/>
                <w:bCs/>
                <w:i/>
                <w:iCs/>
              </w:rPr>
              <w:t>N/A</w:t>
            </w:r>
          </w:p>
        </w:tc>
      </w:tr>
      <w:tr w:rsidR="00A51A62" w:rsidTr="003C3157">
        <w:trPr>
          <w:trHeight w:val="339"/>
          <w:jc w:val="center"/>
        </w:trPr>
        <w:tc>
          <w:tcPr>
            <w:tcW w:w="5020" w:type="dxa"/>
            <w:gridSpan w:val="2"/>
            <w:tcBorders>
              <w:top w:val="single" w:sz="4" w:space="0" w:color="000000"/>
              <w:left w:val="single" w:sz="4" w:space="0" w:color="000000"/>
              <w:bottom w:val="single" w:sz="4" w:space="0" w:color="000000"/>
              <w:right w:val="single" w:sz="4" w:space="0" w:color="000000"/>
            </w:tcBorders>
            <w:hideMark/>
          </w:tcPr>
          <w:p w:rsidR="00A51A62" w:rsidRDefault="00A51A62" w:rsidP="003C3157">
            <w:pPr>
              <w:spacing w:after="0" w:line="240" w:lineRule="auto"/>
              <w:rPr>
                <w:rFonts w:ascii="Times New Roman" w:hAnsi="Times New Roman"/>
              </w:rPr>
            </w:pPr>
            <w:r>
              <w:rPr>
                <w:rFonts w:ascii="Times New Roman" w:hAnsi="Times New Roman"/>
              </w:rPr>
              <w:t>Green Building (§ 14-702(10))</w:t>
            </w:r>
          </w:p>
        </w:tc>
        <w:tc>
          <w:tcPr>
            <w:tcW w:w="1840" w:type="dxa"/>
            <w:tcBorders>
              <w:top w:val="nil"/>
              <w:left w:val="nil"/>
              <w:bottom w:val="single" w:sz="4" w:space="0" w:color="000000"/>
              <w:right w:val="single" w:sz="4" w:space="0" w:color="000000"/>
            </w:tcBorders>
            <w:hideMark/>
          </w:tcPr>
          <w:p w:rsidR="00A51A62" w:rsidRDefault="00A51A62" w:rsidP="003C3157">
            <w:pPr>
              <w:spacing w:after="0" w:line="240" w:lineRule="auto"/>
              <w:jc w:val="center"/>
              <w:rPr>
                <w:rFonts w:ascii="Times New Roman" w:hAnsi="Times New Roman"/>
              </w:rPr>
            </w:pPr>
            <w:r>
              <w:rPr>
                <w:rFonts w:ascii="Times New Roman" w:hAnsi="Times New Roman"/>
              </w:rPr>
              <w:t>Up to 36 ft.</w:t>
            </w:r>
          </w:p>
        </w:tc>
        <w:tc>
          <w:tcPr>
            <w:tcW w:w="1840" w:type="dxa"/>
            <w:tcBorders>
              <w:top w:val="nil"/>
              <w:left w:val="nil"/>
              <w:bottom w:val="single" w:sz="4" w:space="0" w:color="000000"/>
              <w:right w:val="single" w:sz="4" w:space="0" w:color="000000"/>
            </w:tcBorders>
            <w:hideMark/>
          </w:tcPr>
          <w:p w:rsidR="00A51A62" w:rsidRDefault="00A51A62" w:rsidP="003C3157">
            <w:pPr>
              <w:spacing w:after="0" w:line="240" w:lineRule="auto"/>
              <w:jc w:val="center"/>
              <w:rPr>
                <w:rFonts w:ascii="Times New Roman" w:hAnsi="Times New Roman"/>
              </w:rPr>
            </w:pPr>
            <w:r>
              <w:rPr>
                <w:rFonts w:ascii="Times New Roman" w:hAnsi="Times New Roman"/>
              </w:rPr>
              <w:t>Up to 36 ft.</w:t>
            </w:r>
          </w:p>
        </w:tc>
        <w:tc>
          <w:tcPr>
            <w:tcW w:w="1840" w:type="dxa"/>
            <w:tcBorders>
              <w:top w:val="nil"/>
              <w:left w:val="nil"/>
              <w:bottom w:val="single" w:sz="4" w:space="0" w:color="000000"/>
              <w:right w:val="single" w:sz="4" w:space="0" w:color="000000"/>
            </w:tcBorders>
            <w:hideMark/>
          </w:tcPr>
          <w:p w:rsidR="00A51A62" w:rsidRDefault="00A51A62" w:rsidP="003C3157">
            <w:pPr>
              <w:spacing w:after="0" w:line="240" w:lineRule="auto"/>
              <w:jc w:val="center"/>
              <w:rPr>
                <w:rFonts w:ascii="Times New Roman" w:hAnsi="Times New Roman"/>
                <w:bCs/>
                <w:i/>
                <w:iCs/>
              </w:rPr>
            </w:pPr>
            <w:r>
              <w:rPr>
                <w:rFonts w:ascii="Times New Roman" w:hAnsi="Times New Roman"/>
                <w:bCs/>
                <w:i/>
                <w:iCs/>
              </w:rPr>
              <w:t>N/A</w:t>
            </w:r>
          </w:p>
        </w:tc>
      </w:tr>
      <w:tr w:rsidR="00A51A62" w:rsidTr="003C3157">
        <w:trPr>
          <w:trHeight w:val="339"/>
          <w:jc w:val="center"/>
        </w:trPr>
        <w:tc>
          <w:tcPr>
            <w:tcW w:w="5020" w:type="dxa"/>
            <w:gridSpan w:val="2"/>
            <w:tcBorders>
              <w:top w:val="single" w:sz="4" w:space="0" w:color="000000"/>
              <w:left w:val="single" w:sz="4" w:space="0" w:color="000000"/>
              <w:bottom w:val="single" w:sz="4" w:space="0" w:color="000000"/>
              <w:right w:val="single" w:sz="4" w:space="0" w:color="000000"/>
            </w:tcBorders>
            <w:hideMark/>
          </w:tcPr>
          <w:p w:rsidR="00A51A62" w:rsidRDefault="00A51A62" w:rsidP="003C3157">
            <w:pPr>
              <w:spacing w:after="0" w:line="240" w:lineRule="auto"/>
              <w:rPr>
                <w:rFonts w:ascii="Times New Roman" w:hAnsi="Times New Roman"/>
              </w:rPr>
            </w:pPr>
            <w:r>
              <w:rPr>
                <w:rFonts w:ascii="Times New Roman" w:hAnsi="Times New Roman"/>
              </w:rPr>
              <w:t>Trail (§ 14-702(11))</w:t>
            </w:r>
          </w:p>
        </w:tc>
        <w:tc>
          <w:tcPr>
            <w:tcW w:w="1840" w:type="dxa"/>
            <w:tcBorders>
              <w:top w:val="nil"/>
              <w:left w:val="nil"/>
              <w:bottom w:val="single" w:sz="4" w:space="0" w:color="000000"/>
              <w:right w:val="single" w:sz="4" w:space="0" w:color="000000"/>
            </w:tcBorders>
            <w:hideMark/>
          </w:tcPr>
          <w:p w:rsidR="00A51A62" w:rsidRDefault="00A51A62" w:rsidP="003C3157">
            <w:pPr>
              <w:spacing w:after="0" w:line="240" w:lineRule="auto"/>
              <w:jc w:val="center"/>
              <w:rPr>
                <w:rFonts w:ascii="Times New Roman" w:hAnsi="Times New Roman"/>
              </w:rPr>
            </w:pPr>
            <w:r>
              <w:rPr>
                <w:rFonts w:ascii="Times New Roman" w:hAnsi="Times New Roman"/>
              </w:rPr>
              <w:t>Up to 72 ft.</w:t>
            </w:r>
          </w:p>
        </w:tc>
        <w:tc>
          <w:tcPr>
            <w:tcW w:w="1840" w:type="dxa"/>
            <w:tcBorders>
              <w:top w:val="nil"/>
              <w:left w:val="nil"/>
              <w:bottom w:val="single" w:sz="4" w:space="0" w:color="000000"/>
              <w:right w:val="single" w:sz="4" w:space="0" w:color="000000"/>
            </w:tcBorders>
            <w:hideMark/>
          </w:tcPr>
          <w:p w:rsidR="00A51A62" w:rsidRDefault="00A51A62" w:rsidP="003C3157">
            <w:pPr>
              <w:spacing w:after="0" w:line="240" w:lineRule="auto"/>
              <w:jc w:val="center"/>
              <w:rPr>
                <w:rFonts w:ascii="Times New Roman" w:hAnsi="Times New Roman"/>
              </w:rPr>
            </w:pPr>
            <w:r>
              <w:rPr>
                <w:rFonts w:ascii="Times New Roman" w:hAnsi="Times New Roman"/>
              </w:rPr>
              <w:t>N/A</w:t>
            </w:r>
          </w:p>
        </w:tc>
        <w:tc>
          <w:tcPr>
            <w:tcW w:w="1840" w:type="dxa"/>
            <w:tcBorders>
              <w:top w:val="nil"/>
              <w:left w:val="nil"/>
              <w:bottom w:val="single" w:sz="4" w:space="0" w:color="000000"/>
              <w:right w:val="single" w:sz="4" w:space="0" w:color="000000"/>
            </w:tcBorders>
            <w:hideMark/>
          </w:tcPr>
          <w:p w:rsidR="00A51A62" w:rsidRDefault="00A51A62" w:rsidP="003C3157">
            <w:pPr>
              <w:spacing w:after="0" w:line="240" w:lineRule="auto"/>
              <w:jc w:val="center"/>
              <w:rPr>
                <w:rFonts w:ascii="Times New Roman" w:hAnsi="Times New Roman"/>
                <w:bCs/>
                <w:i/>
                <w:iCs/>
              </w:rPr>
            </w:pPr>
            <w:r>
              <w:rPr>
                <w:rFonts w:ascii="Times New Roman" w:hAnsi="Times New Roman"/>
                <w:bCs/>
                <w:i/>
                <w:iCs/>
              </w:rPr>
              <w:t>N/A</w:t>
            </w:r>
          </w:p>
        </w:tc>
      </w:tr>
      <w:tr w:rsidR="00A51A62" w:rsidTr="003C3157">
        <w:trPr>
          <w:trHeight w:val="339"/>
          <w:jc w:val="center"/>
        </w:trPr>
        <w:tc>
          <w:tcPr>
            <w:tcW w:w="5020" w:type="dxa"/>
            <w:gridSpan w:val="2"/>
            <w:tcBorders>
              <w:top w:val="single" w:sz="4" w:space="0" w:color="000000"/>
              <w:left w:val="single" w:sz="4" w:space="0" w:color="000000"/>
              <w:bottom w:val="single" w:sz="4" w:space="0" w:color="000000"/>
              <w:right w:val="single" w:sz="4" w:space="0" w:color="000000"/>
            </w:tcBorders>
            <w:hideMark/>
          </w:tcPr>
          <w:p w:rsidR="00A51A62" w:rsidRDefault="00A51A62" w:rsidP="003C3157">
            <w:pPr>
              <w:spacing w:after="0" w:line="240" w:lineRule="auto"/>
              <w:rPr>
                <w:rFonts w:ascii="Times New Roman" w:hAnsi="Times New Roman"/>
              </w:rPr>
            </w:pPr>
            <w:r>
              <w:rPr>
                <w:rFonts w:ascii="Times New Roman" w:hAnsi="Times New Roman"/>
              </w:rPr>
              <w:t>Street Extension (§ 14-702(12))</w:t>
            </w:r>
          </w:p>
        </w:tc>
        <w:tc>
          <w:tcPr>
            <w:tcW w:w="1840" w:type="dxa"/>
            <w:tcBorders>
              <w:top w:val="nil"/>
              <w:left w:val="nil"/>
              <w:bottom w:val="single" w:sz="4" w:space="0" w:color="000000"/>
              <w:right w:val="single" w:sz="4" w:space="0" w:color="000000"/>
            </w:tcBorders>
            <w:hideMark/>
          </w:tcPr>
          <w:p w:rsidR="00A51A62" w:rsidRDefault="00A51A62" w:rsidP="003C3157">
            <w:pPr>
              <w:spacing w:after="0" w:line="240" w:lineRule="auto"/>
              <w:jc w:val="center"/>
              <w:rPr>
                <w:rFonts w:ascii="Times New Roman" w:hAnsi="Times New Roman"/>
              </w:rPr>
            </w:pPr>
            <w:r>
              <w:rPr>
                <w:rFonts w:ascii="Times New Roman" w:hAnsi="Times New Roman"/>
              </w:rPr>
              <w:t>Up to 72 ft.</w:t>
            </w:r>
          </w:p>
        </w:tc>
        <w:tc>
          <w:tcPr>
            <w:tcW w:w="1840" w:type="dxa"/>
            <w:tcBorders>
              <w:top w:val="nil"/>
              <w:left w:val="nil"/>
              <w:bottom w:val="single" w:sz="4" w:space="0" w:color="000000"/>
              <w:right w:val="single" w:sz="4" w:space="0" w:color="000000"/>
            </w:tcBorders>
            <w:hideMark/>
          </w:tcPr>
          <w:p w:rsidR="00A51A62" w:rsidRDefault="00A51A62" w:rsidP="003C3157">
            <w:pPr>
              <w:spacing w:after="0" w:line="240" w:lineRule="auto"/>
              <w:jc w:val="center"/>
              <w:rPr>
                <w:rFonts w:ascii="Times New Roman" w:hAnsi="Times New Roman"/>
              </w:rPr>
            </w:pPr>
            <w:r>
              <w:rPr>
                <w:rFonts w:ascii="Times New Roman" w:hAnsi="Times New Roman"/>
              </w:rPr>
              <w:t>N/A</w:t>
            </w:r>
          </w:p>
        </w:tc>
        <w:tc>
          <w:tcPr>
            <w:tcW w:w="1840" w:type="dxa"/>
            <w:tcBorders>
              <w:top w:val="nil"/>
              <w:left w:val="nil"/>
              <w:bottom w:val="single" w:sz="4" w:space="0" w:color="000000"/>
              <w:right w:val="single" w:sz="4" w:space="0" w:color="000000"/>
            </w:tcBorders>
            <w:hideMark/>
          </w:tcPr>
          <w:p w:rsidR="00A51A62" w:rsidRDefault="00A51A62" w:rsidP="003C3157">
            <w:pPr>
              <w:spacing w:after="0" w:line="240" w:lineRule="auto"/>
              <w:jc w:val="center"/>
              <w:rPr>
                <w:rFonts w:ascii="Times New Roman" w:hAnsi="Times New Roman"/>
                <w:bCs/>
                <w:i/>
                <w:iCs/>
              </w:rPr>
            </w:pPr>
            <w:r>
              <w:rPr>
                <w:rFonts w:ascii="Times New Roman" w:hAnsi="Times New Roman"/>
                <w:bCs/>
                <w:i/>
                <w:iCs/>
              </w:rPr>
              <w:t>N/A</w:t>
            </w:r>
          </w:p>
        </w:tc>
      </w:tr>
      <w:tr w:rsidR="00A51A62" w:rsidTr="003C3157">
        <w:trPr>
          <w:trHeight w:val="339"/>
          <w:jc w:val="center"/>
        </w:trPr>
        <w:tc>
          <w:tcPr>
            <w:tcW w:w="5020" w:type="dxa"/>
            <w:gridSpan w:val="2"/>
            <w:tcBorders>
              <w:top w:val="single" w:sz="4" w:space="0" w:color="000000"/>
              <w:left w:val="single" w:sz="4" w:space="0" w:color="000000"/>
              <w:bottom w:val="single" w:sz="4" w:space="0" w:color="000000"/>
              <w:right w:val="single" w:sz="4" w:space="0" w:color="000000"/>
            </w:tcBorders>
            <w:hideMark/>
          </w:tcPr>
          <w:p w:rsidR="00A51A62" w:rsidRDefault="00A51A62" w:rsidP="003C3157">
            <w:pPr>
              <w:spacing w:after="0" w:line="240" w:lineRule="auto"/>
              <w:rPr>
                <w:rFonts w:ascii="Times New Roman" w:hAnsi="Times New Roman"/>
              </w:rPr>
            </w:pPr>
            <w:r>
              <w:rPr>
                <w:rFonts w:ascii="Times New Roman" w:hAnsi="Times New Roman"/>
              </w:rPr>
              <w:t>Retail Space (§ 14-702(13))</w:t>
            </w:r>
          </w:p>
        </w:tc>
        <w:tc>
          <w:tcPr>
            <w:tcW w:w="1840" w:type="dxa"/>
            <w:tcBorders>
              <w:top w:val="nil"/>
              <w:left w:val="nil"/>
              <w:bottom w:val="single" w:sz="4" w:space="0" w:color="000000"/>
              <w:right w:val="single" w:sz="4" w:space="0" w:color="000000"/>
            </w:tcBorders>
            <w:hideMark/>
          </w:tcPr>
          <w:p w:rsidR="00A51A62" w:rsidRDefault="00A51A62" w:rsidP="003C3157">
            <w:pPr>
              <w:spacing w:after="0" w:line="240" w:lineRule="auto"/>
              <w:jc w:val="center"/>
              <w:rPr>
                <w:rFonts w:ascii="Times New Roman" w:hAnsi="Times New Roman"/>
              </w:rPr>
            </w:pPr>
            <w:r>
              <w:rPr>
                <w:rFonts w:ascii="Times New Roman" w:hAnsi="Times New Roman"/>
              </w:rPr>
              <w:t>Up to 48 ft.</w:t>
            </w:r>
          </w:p>
        </w:tc>
        <w:tc>
          <w:tcPr>
            <w:tcW w:w="1840" w:type="dxa"/>
            <w:tcBorders>
              <w:top w:val="nil"/>
              <w:left w:val="nil"/>
              <w:bottom w:val="single" w:sz="4" w:space="0" w:color="000000"/>
              <w:right w:val="single" w:sz="4" w:space="0" w:color="000000"/>
            </w:tcBorders>
            <w:hideMark/>
          </w:tcPr>
          <w:p w:rsidR="00A51A62" w:rsidRDefault="00A51A62" w:rsidP="003C3157">
            <w:pPr>
              <w:spacing w:after="0" w:line="240" w:lineRule="auto"/>
              <w:jc w:val="center"/>
              <w:rPr>
                <w:rFonts w:ascii="Times New Roman" w:hAnsi="Times New Roman"/>
              </w:rPr>
            </w:pPr>
            <w:r>
              <w:rPr>
                <w:rFonts w:ascii="Times New Roman" w:hAnsi="Times New Roman"/>
              </w:rPr>
              <w:t>Up to 48 ft.</w:t>
            </w:r>
          </w:p>
        </w:tc>
        <w:tc>
          <w:tcPr>
            <w:tcW w:w="1840" w:type="dxa"/>
            <w:tcBorders>
              <w:top w:val="nil"/>
              <w:left w:val="nil"/>
              <w:bottom w:val="single" w:sz="4" w:space="0" w:color="000000"/>
              <w:right w:val="single" w:sz="4" w:space="0" w:color="000000"/>
            </w:tcBorders>
            <w:hideMark/>
          </w:tcPr>
          <w:p w:rsidR="00A51A62" w:rsidRDefault="00A51A62" w:rsidP="003C3157">
            <w:pPr>
              <w:spacing w:after="0" w:line="240" w:lineRule="auto"/>
              <w:jc w:val="center"/>
              <w:rPr>
                <w:rFonts w:ascii="Times New Roman" w:hAnsi="Times New Roman"/>
                <w:bCs/>
                <w:i/>
                <w:iCs/>
              </w:rPr>
            </w:pPr>
            <w:r>
              <w:rPr>
                <w:rFonts w:ascii="Times New Roman" w:hAnsi="Times New Roman"/>
                <w:bCs/>
                <w:i/>
                <w:iCs/>
              </w:rPr>
              <w:t>N/A</w:t>
            </w:r>
          </w:p>
        </w:tc>
      </w:tr>
      <w:tr w:rsidR="00A51A62" w:rsidTr="003C3157">
        <w:trPr>
          <w:trHeight w:val="339"/>
          <w:jc w:val="center"/>
        </w:trPr>
        <w:tc>
          <w:tcPr>
            <w:tcW w:w="5020" w:type="dxa"/>
            <w:gridSpan w:val="2"/>
            <w:tcBorders>
              <w:top w:val="single" w:sz="4" w:space="0" w:color="000000"/>
              <w:left w:val="single" w:sz="4" w:space="0" w:color="000000"/>
              <w:bottom w:val="single" w:sz="4" w:space="0" w:color="000000"/>
              <w:right w:val="single" w:sz="4" w:space="0" w:color="000000"/>
            </w:tcBorders>
            <w:hideMark/>
          </w:tcPr>
          <w:p w:rsidR="00A51A62" w:rsidRDefault="00A51A62" w:rsidP="003C3157">
            <w:pPr>
              <w:spacing w:after="0" w:line="240" w:lineRule="auto"/>
              <w:rPr>
                <w:rFonts w:ascii="Times New Roman" w:hAnsi="Times New Roman"/>
              </w:rPr>
            </w:pPr>
            <w:r>
              <w:rPr>
                <w:rFonts w:ascii="Times New Roman" w:hAnsi="Times New Roman"/>
              </w:rPr>
              <w:t>Stormwater Management (§ 14-702(14))</w:t>
            </w:r>
          </w:p>
        </w:tc>
        <w:tc>
          <w:tcPr>
            <w:tcW w:w="1840" w:type="dxa"/>
            <w:tcBorders>
              <w:top w:val="nil"/>
              <w:left w:val="nil"/>
              <w:bottom w:val="single" w:sz="4" w:space="0" w:color="000000"/>
              <w:right w:val="single" w:sz="4" w:space="0" w:color="000000"/>
            </w:tcBorders>
            <w:hideMark/>
          </w:tcPr>
          <w:p w:rsidR="00A51A62" w:rsidRDefault="00A51A62" w:rsidP="003C3157">
            <w:pPr>
              <w:spacing w:after="0" w:line="240" w:lineRule="auto"/>
              <w:jc w:val="center"/>
              <w:rPr>
                <w:rFonts w:ascii="Times New Roman" w:hAnsi="Times New Roman"/>
              </w:rPr>
            </w:pPr>
            <w:r>
              <w:rPr>
                <w:rFonts w:ascii="Times New Roman" w:hAnsi="Times New Roman"/>
              </w:rPr>
              <w:t>N/A</w:t>
            </w:r>
          </w:p>
        </w:tc>
        <w:tc>
          <w:tcPr>
            <w:tcW w:w="1840" w:type="dxa"/>
            <w:tcBorders>
              <w:top w:val="nil"/>
              <w:left w:val="nil"/>
              <w:bottom w:val="single" w:sz="4" w:space="0" w:color="000000"/>
              <w:right w:val="single" w:sz="4" w:space="0" w:color="000000"/>
            </w:tcBorders>
            <w:hideMark/>
          </w:tcPr>
          <w:p w:rsidR="00A51A62" w:rsidRDefault="00A51A62" w:rsidP="003C3157">
            <w:pPr>
              <w:spacing w:after="0" w:line="240" w:lineRule="auto"/>
              <w:jc w:val="center"/>
              <w:rPr>
                <w:rFonts w:ascii="Times New Roman" w:hAnsi="Times New Roman"/>
              </w:rPr>
            </w:pPr>
            <w:r>
              <w:rPr>
                <w:rFonts w:ascii="Times New Roman" w:hAnsi="Times New Roman"/>
              </w:rPr>
              <w:t>Up to 72 ft.</w:t>
            </w:r>
          </w:p>
        </w:tc>
        <w:tc>
          <w:tcPr>
            <w:tcW w:w="1840" w:type="dxa"/>
            <w:tcBorders>
              <w:top w:val="nil"/>
              <w:left w:val="nil"/>
              <w:bottom w:val="single" w:sz="4" w:space="0" w:color="000000"/>
              <w:right w:val="single" w:sz="4" w:space="0" w:color="000000"/>
            </w:tcBorders>
            <w:hideMark/>
          </w:tcPr>
          <w:p w:rsidR="00A51A62" w:rsidRDefault="00A51A62" w:rsidP="003C3157">
            <w:pPr>
              <w:spacing w:after="0" w:line="240" w:lineRule="auto"/>
              <w:jc w:val="center"/>
              <w:rPr>
                <w:rFonts w:ascii="Times New Roman" w:hAnsi="Times New Roman"/>
                <w:bCs/>
                <w:i/>
                <w:iCs/>
              </w:rPr>
            </w:pPr>
            <w:r>
              <w:rPr>
                <w:rFonts w:ascii="Times New Roman" w:hAnsi="Times New Roman"/>
                <w:bCs/>
                <w:i/>
                <w:iCs/>
              </w:rPr>
              <w:t>N/A</w:t>
            </w:r>
          </w:p>
        </w:tc>
      </w:tr>
      <w:tr w:rsidR="00A51A62" w:rsidTr="003C3157">
        <w:trPr>
          <w:trHeight w:val="321"/>
          <w:jc w:val="center"/>
        </w:trPr>
        <w:tc>
          <w:tcPr>
            <w:tcW w:w="5020" w:type="dxa"/>
            <w:gridSpan w:val="2"/>
            <w:tcBorders>
              <w:top w:val="single" w:sz="4" w:space="0" w:color="000000"/>
              <w:left w:val="single" w:sz="4" w:space="0" w:color="000000"/>
              <w:bottom w:val="single" w:sz="4" w:space="0" w:color="000000"/>
              <w:right w:val="single" w:sz="4" w:space="0" w:color="000000"/>
            </w:tcBorders>
            <w:hideMark/>
          </w:tcPr>
          <w:p w:rsidR="00A51A62" w:rsidRDefault="00A51A62" w:rsidP="003C3157">
            <w:pPr>
              <w:spacing w:after="0" w:line="240" w:lineRule="auto"/>
              <w:rPr>
                <w:rFonts w:ascii="Times New Roman" w:hAnsi="Times New Roman"/>
              </w:rPr>
            </w:pPr>
            <w:r>
              <w:rPr>
                <w:rFonts w:ascii="Times New Roman" w:hAnsi="Times New Roman"/>
              </w:rPr>
              <w:lastRenderedPageBreak/>
              <w:t>Through-Block Connection (§ 14-702(15))</w:t>
            </w:r>
          </w:p>
        </w:tc>
        <w:tc>
          <w:tcPr>
            <w:tcW w:w="1840" w:type="dxa"/>
            <w:tcBorders>
              <w:top w:val="nil"/>
              <w:left w:val="nil"/>
              <w:bottom w:val="single" w:sz="4" w:space="0" w:color="000000"/>
              <w:right w:val="single" w:sz="4" w:space="0" w:color="000000"/>
            </w:tcBorders>
            <w:hideMark/>
          </w:tcPr>
          <w:p w:rsidR="00A51A62" w:rsidRDefault="00A51A62" w:rsidP="003C3157">
            <w:pPr>
              <w:spacing w:after="0" w:line="240" w:lineRule="auto"/>
              <w:jc w:val="center"/>
              <w:rPr>
                <w:rFonts w:ascii="Times New Roman" w:hAnsi="Times New Roman"/>
              </w:rPr>
            </w:pPr>
            <w:r>
              <w:rPr>
                <w:rFonts w:ascii="Times New Roman" w:hAnsi="Times New Roman"/>
              </w:rPr>
              <w:t>N/A</w:t>
            </w:r>
          </w:p>
        </w:tc>
        <w:tc>
          <w:tcPr>
            <w:tcW w:w="1840" w:type="dxa"/>
            <w:tcBorders>
              <w:top w:val="nil"/>
              <w:left w:val="nil"/>
              <w:bottom w:val="single" w:sz="4" w:space="0" w:color="000000"/>
              <w:right w:val="single" w:sz="4" w:space="0" w:color="000000"/>
            </w:tcBorders>
            <w:hideMark/>
          </w:tcPr>
          <w:p w:rsidR="00A51A62" w:rsidRDefault="00A51A62" w:rsidP="003C3157">
            <w:pPr>
              <w:spacing w:after="0" w:line="240" w:lineRule="auto"/>
              <w:jc w:val="center"/>
              <w:rPr>
                <w:rFonts w:ascii="Times New Roman" w:hAnsi="Times New Roman"/>
              </w:rPr>
            </w:pPr>
            <w:r>
              <w:rPr>
                <w:rFonts w:ascii="Times New Roman" w:hAnsi="Times New Roman"/>
              </w:rPr>
              <w:t>Up to 48 ft.</w:t>
            </w:r>
          </w:p>
        </w:tc>
        <w:tc>
          <w:tcPr>
            <w:tcW w:w="1840" w:type="dxa"/>
            <w:tcBorders>
              <w:top w:val="nil"/>
              <w:left w:val="nil"/>
              <w:bottom w:val="single" w:sz="4" w:space="0" w:color="000000"/>
              <w:right w:val="single" w:sz="4" w:space="0" w:color="000000"/>
            </w:tcBorders>
            <w:hideMark/>
          </w:tcPr>
          <w:p w:rsidR="00A51A62" w:rsidRDefault="00A51A62" w:rsidP="003C3157">
            <w:pPr>
              <w:spacing w:after="0" w:line="240" w:lineRule="auto"/>
              <w:jc w:val="center"/>
              <w:rPr>
                <w:rFonts w:ascii="Times New Roman" w:hAnsi="Times New Roman"/>
                <w:bCs/>
                <w:i/>
                <w:iCs/>
              </w:rPr>
            </w:pPr>
            <w:r>
              <w:rPr>
                <w:rFonts w:ascii="Times New Roman" w:hAnsi="Times New Roman"/>
                <w:bCs/>
                <w:i/>
                <w:iCs/>
              </w:rPr>
              <w:t>N/A</w:t>
            </w:r>
          </w:p>
        </w:tc>
      </w:tr>
    </w:tbl>
    <w:p w:rsidR="00A51A62" w:rsidRDefault="00A51A62" w:rsidP="00A51A62">
      <w:pPr>
        <w:spacing w:after="0" w:line="300" w:lineRule="exact"/>
        <w:rPr>
          <w:rFonts w:ascii="Times New Roman" w:hAnsi="Times New Roman"/>
          <w:sz w:val="24"/>
          <w:szCs w:val="24"/>
        </w:rPr>
      </w:pPr>
    </w:p>
    <w:p w:rsidR="00A51A62" w:rsidRDefault="00A51A62" w:rsidP="00A51A62">
      <w:pPr>
        <w:spacing w:after="0" w:line="300" w:lineRule="exact"/>
        <w:ind w:firstLine="720"/>
        <w:rPr>
          <w:rFonts w:ascii="Times New Roman" w:hAnsi="Times New Roman"/>
          <w:sz w:val="24"/>
          <w:szCs w:val="24"/>
        </w:rPr>
      </w:pPr>
    </w:p>
    <w:p w:rsidR="00A51A62" w:rsidRDefault="00A51A62" w:rsidP="00A51A62">
      <w:pPr>
        <w:spacing w:after="0" w:line="300" w:lineRule="exact"/>
        <w:jc w:val="center"/>
        <w:rPr>
          <w:rFonts w:ascii="Times New Roman" w:hAnsi="Times New Roman"/>
          <w:sz w:val="24"/>
          <w:szCs w:val="24"/>
        </w:rPr>
      </w:pPr>
      <w:r>
        <w:rPr>
          <w:rFonts w:ascii="Times New Roman" w:hAnsi="Times New Roman"/>
          <w:sz w:val="24"/>
          <w:szCs w:val="24"/>
        </w:rPr>
        <w:t>*     *     *</w:t>
      </w:r>
    </w:p>
    <w:p w:rsidR="00212AF3" w:rsidRDefault="00212AF3" w:rsidP="00B62161">
      <w:pPr>
        <w:spacing w:after="0" w:line="300" w:lineRule="exact"/>
        <w:ind w:firstLine="720"/>
        <w:rPr>
          <w:rFonts w:ascii="Times New Roman" w:hAnsi="Times New Roman"/>
          <w:b/>
          <w:sz w:val="24"/>
          <w:szCs w:val="24"/>
        </w:rPr>
      </w:pPr>
    </w:p>
    <w:p w:rsidR="00B62161" w:rsidRPr="00FF112F" w:rsidRDefault="00B62161" w:rsidP="00B62161">
      <w:pPr>
        <w:spacing w:after="0" w:line="300" w:lineRule="exact"/>
        <w:ind w:firstLine="720"/>
        <w:rPr>
          <w:rFonts w:ascii="Times New Roman" w:hAnsi="Times New Roman"/>
          <w:b/>
          <w:sz w:val="24"/>
          <w:szCs w:val="24"/>
        </w:rPr>
      </w:pPr>
      <w:bookmarkStart w:id="3" w:name="_Hlk525725269"/>
      <w:r w:rsidRPr="00FF112F">
        <w:rPr>
          <w:rFonts w:ascii="Times New Roman" w:hAnsi="Times New Roman"/>
          <w:b/>
          <w:sz w:val="24"/>
          <w:szCs w:val="24"/>
        </w:rPr>
        <w:t>(4)</w:t>
      </w:r>
      <w:r w:rsidRPr="00FF112F">
        <w:rPr>
          <w:rFonts w:ascii="Times New Roman" w:hAnsi="Times New Roman"/>
          <w:b/>
          <w:sz w:val="24"/>
          <w:szCs w:val="24"/>
        </w:rPr>
        <w:tab/>
        <w:t xml:space="preserve">Maximum Floor Area and Height Bonus Amounts. </w:t>
      </w:r>
    </w:p>
    <w:p w:rsidR="00B62161" w:rsidRPr="00FF112F" w:rsidRDefault="00B62161" w:rsidP="00B62161">
      <w:pPr>
        <w:spacing w:after="0" w:line="300" w:lineRule="exact"/>
        <w:ind w:firstLine="720"/>
        <w:rPr>
          <w:rFonts w:ascii="Times New Roman" w:hAnsi="Times New Roman"/>
          <w:b/>
          <w:sz w:val="24"/>
          <w:szCs w:val="24"/>
        </w:rPr>
      </w:pPr>
    </w:p>
    <w:p w:rsidR="00825325" w:rsidRPr="00FF112F" w:rsidRDefault="00825325" w:rsidP="00825325">
      <w:pPr>
        <w:spacing w:after="0" w:line="300" w:lineRule="exact"/>
        <w:jc w:val="center"/>
        <w:rPr>
          <w:rFonts w:ascii="Times New Roman" w:hAnsi="Times New Roman"/>
          <w:b/>
          <w:sz w:val="24"/>
          <w:szCs w:val="24"/>
        </w:rPr>
      </w:pPr>
      <w:r w:rsidRPr="00FF112F">
        <w:rPr>
          <w:rFonts w:ascii="Times New Roman" w:hAnsi="Times New Roman"/>
          <w:b/>
          <w:sz w:val="24"/>
          <w:szCs w:val="24"/>
        </w:rPr>
        <w:t>*     *     *</w:t>
      </w:r>
    </w:p>
    <w:p w:rsidR="00825325" w:rsidRPr="00FF112F" w:rsidRDefault="00825325" w:rsidP="00825325">
      <w:pPr>
        <w:spacing w:after="0" w:line="300" w:lineRule="exact"/>
        <w:rPr>
          <w:rFonts w:ascii="Times New Roman" w:hAnsi="Times New Roman"/>
          <w:b/>
          <w:i/>
          <w:sz w:val="24"/>
          <w:szCs w:val="24"/>
        </w:rPr>
      </w:pPr>
    </w:p>
    <w:p w:rsidR="00A51A62" w:rsidRPr="00B62161" w:rsidRDefault="00B62161" w:rsidP="00825325">
      <w:pPr>
        <w:spacing w:after="0" w:line="300" w:lineRule="exact"/>
        <w:ind w:left="2160" w:hanging="720"/>
        <w:rPr>
          <w:rFonts w:ascii="Times New Roman" w:hAnsi="Times New Roman"/>
          <w:b/>
          <w:sz w:val="24"/>
          <w:szCs w:val="24"/>
        </w:rPr>
      </w:pPr>
      <w:r w:rsidRPr="00FF112F">
        <w:rPr>
          <w:rFonts w:ascii="Times New Roman" w:hAnsi="Times New Roman"/>
          <w:b/>
          <w:i/>
          <w:sz w:val="24"/>
          <w:szCs w:val="24"/>
        </w:rPr>
        <w:t>(</w:t>
      </w:r>
      <w:r w:rsidR="00825325" w:rsidRPr="00FF112F">
        <w:rPr>
          <w:rFonts w:ascii="Times New Roman" w:hAnsi="Times New Roman"/>
          <w:b/>
          <w:i/>
          <w:sz w:val="24"/>
          <w:szCs w:val="24"/>
        </w:rPr>
        <w:t>i</w:t>
      </w:r>
      <w:r w:rsidRPr="00FF112F">
        <w:rPr>
          <w:rFonts w:ascii="Times New Roman" w:hAnsi="Times New Roman"/>
          <w:b/>
          <w:i/>
          <w:sz w:val="24"/>
          <w:szCs w:val="24"/>
        </w:rPr>
        <w:t>)</w:t>
      </w:r>
      <w:r w:rsidRPr="00FF112F">
        <w:rPr>
          <w:rFonts w:ascii="Times New Roman" w:hAnsi="Times New Roman"/>
          <w:b/>
          <w:i/>
          <w:sz w:val="24"/>
          <w:szCs w:val="24"/>
        </w:rPr>
        <w:tab/>
      </w:r>
      <w:r w:rsidR="00825325" w:rsidRPr="00FF112F">
        <w:rPr>
          <w:rFonts w:ascii="Times New Roman" w:hAnsi="Times New Roman"/>
          <w:b/>
          <w:i/>
          <w:sz w:val="24"/>
          <w:szCs w:val="24"/>
        </w:rPr>
        <w:t>Notwithstanding the foregoing, any bonuses earned through</w:t>
      </w:r>
      <w:r w:rsidR="00825325" w:rsidRPr="00FF112F">
        <w:rPr>
          <w:rFonts w:ascii="Times New Roman" w:hAnsi="Times New Roman"/>
          <w:b/>
          <w:sz w:val="24"/>
          <w:szCs w:val="24"/>
        </w:rPr>
        <w:t xml:space="preserve"> </w:t>
      </w:r>
      <w:r w:rsidR="00825325" w:rsidRPr="00FF112F">
        <w:rPr>
          <w:rFonts w:ascii="Times New Roman" w:hAnsi="Times New Roman"/>
          <w:b/>
          <w:i/>
          <w:sz w:val="24"/>
          <w:szCs w:val="24"/>
        </w:rPr>
        <w:t>§ 14-702(7) (Mixed Income Housing) shall not apply toward, and may exceed, these maximum floor area and height bonus amounts.</w:t>
      </w:r>
    </w:p>
    <w:bookmarkEnd w:id="3"/>
    <w:p w:rsidR="00B62161" w:rsidRDefault="00B62161" w:rsidP="00A51A62">
      <w:pPr>
        <w:spacing w:after="0" w:line="300" w:lineRule="exact"/>
        <w:ind w:firstLine="720"/>
        <w:rPr>
          <w:rFonts w:ascii="Times New Roman" w:hAnsi="Times New Roman"/>
          <w:sz w:val="24"/>
          <w:szCs w:val="24"/>
        </w:rPr>
      </w:pPr>
    </w:p>
    <w:p w:rsidR="00212AF3" w:rsidRDefault="00212AF3" w:rsidP="00212AF3">
      <w:pPr>
        <w:spacing w:after="0" w:line="300" w:lineRule="exact"/>
        <w:jc w:val="center"/>
        <w:rPr>
          <w:rFonts w:ascii="Times New Roman" w:hAnsi="Times New Roman"/>
          <w:b/>
          <w:sz w:val="24"/>
          <w:szCs w:val="24"/>
        </w:rPr>
      </w:pPr>
      <w:r w:rsidRPr="00212AF3">
        <w:rPr>
          <w:rFonts w:ascii="Times New Roman" w:hAnsi="Times New Roman"/>
          <w:b/>
          <w:sz w:val="24"/>
          <w:szCs w:val="24"/>
        </w:rPr>
        <w:t>*     *     *</w:t>
      </w:r>
    </w:p>
    <w:p w:rsidR="00825325" w:rsidRDefault="00825325" w:rsidP="00212AF3">
      <w:pPr>
        <w:spacing w:after="0" w:line="300" w:lineRule="exact"/>
        <w:jc w:val="center"/>
        <w:rPr>
          <w:rFonts w:ascii="Times New Roman" w:hAnsi="Times New Roman"/>
          <w:b/>
          <w:sz w:val="24"/>
          <w:szCs w:val="24"/>
        </w:rPr>
      </w:pPr>
    </w:p>
    <w:p w:rsidR="00825325" w:rsidRPr="00212AF3" w:rsidRDefault="00825325" w:rsidP="00212AF3">
      <w:pPr>
        <w:spacing w:after="0" w:line="300" w:lineRule="exact"/>
        <w:jc w:val="center"/>
        <w:rPr>
          <w:rFonts w:ascii="Times New Roman" w:hAnsi="Times New Roman"/>
          <w:b/>
          <w:sz w:val="24"/>
          <w:szCs w:val="24"/>
        </w:rPr>
      </w:pPr>
    </w:p>
    <w:p w:rsidR="00B62161" w:rsidRDefault="00B62161" w:rsidP="00A51A62">
      <w:pPr>
        <w:spacing w:after="0" w:line="300" w:lineRule="exact"/>
        <w:ind w:firstLine="720"/>
        <w:rPr>
          <w:rFonts w:ascii="Times New Roman" w:hAnsi="Times New Roman"/>
          <w:sz w:val="24"/>
          <w:szCs w:val="24"/>
        </w:rPr>
      </w:pPr>
    </w:p>
    <w:p w:rsidR="00A51A62" w:rsidRDefault="00A51A62" w:rsidP="00A51A62">
      <w:pPr>
        <w:spacing w:after="0" w:line="300" w:lineRule="exact"/>
        <w:ind w:firstLine="720"/>
        <w:rPr>
          <w:rFonts w:ascii="Times New Roman" w:hAnsi="Times New Roman"/>
          <w:sz w:val="24"/>
          <w:szCs w:val="24"/>
        </w:rPr>
      </w:pPr>
      <w:r>
        <w:rPr>
          <w:rFonts w:ascii="Times New Roman" w:hAnsi="Times New Roman"/>
          <w:sz w:val="24"/>
          <w:szCs w:val="24"/>
        </w:rPr>
        <w:t xml:space="preserve">(7)   </w:t>
      </w:r>
      <w:r>
        <w:rPr>
          <w:rFonts w:ascii="Times New Roman" w:hAnsi="Times New Roman"/>
          <w:sz w:val="24"/>
          <w:szCs w:val="24"/>
        </w:rPr>
        <w:tab/>
        <w:t xml:space="preserve">Mixed Income Housing. </w:t>
      </w:r>
    </w:p>
    <w:p w:rsidR="00A51A62" w:rsidRDefault="00A51A62" w:rsidP="00A51A62">
      <w:pPr>
        <w:spacing w:after="0" w:line="300" w:lineRule="exact"/>
        <w:ind w:left="720" w:firstLine="720"/>
        <w:rPr>
          <w:rFonts w:ascii="Times New Roman" w:hAnsi="Times New Roman"/>
          <w:sz w:val="24"/>
          <w:szCs w:val="24"/>
        </w:rPr>
      </w:pPr>
    </w:p>
    <w:p w:rsidR="00A51A62" w:rsidRDefault="00A51A62" w:rsidP="00A51A62">
      <w:pPr>
        <w:spacing w:after="0" w:line="300" w:lineRule="exact"/>
        <w:ind w:left="720" w:firstLine="720"/>
        <w:rPr>
          <w:rFonts w:ascii="Times New Roman" w:hAnsi="Times New Roman"/>
          <w:sz w:val="24"/>
          <w:szCs w:val="24"/>
        </w:rPr>
      </w:pPr>
      <w:r>
        <w:rPr>
          <w:rFonts w:ascii="Times New Roman" w:hAnsi="Times New Roman"/>
          <w:sz w:val="24"/>
          <w:szCs w:val="24"/>
        </w:rPr>
        <w:t xml:space="preserve">(a)   </w:t>
      </w:r>
      <w:r>
        <w:rPr>
          <w:rFonts w:ascii="Times New Roman" w:hAnsi="Times New Roman"/>
          <w:sz w:val="24"/>
          <w:szCs w:val="24"/>
        </w:rPr>
        <w:tab/>
        <w:t>Affordability.</w:t>
      </w:r>
    </w:p>
    <w:p w:rsidR="000F3DCD" w:rsidRDefault="000F3DCD" w:rsidP="00A51A62">
      <w:pPr>
        <w:spacing w:after="0" w:line="300" w:lineRule="exact"/>
        <w:ind w:left="720" w:firstLine="720"/>
        <w:rPr>
          <w:rFonts w:ascii="Times New Roman" w:hAnsi="Times New Roman"/>
          <w:sz w:val="24"/>
          <w:szCs w:val="24"/>
        </w:rPr>
      </w:pPr>
    </w:p>
    <w:p w:rsidR="00A51A62" w:rsidRPr="000F3DCD" w:rsidRDefault="00A51A62" w:rsidP="00A51A62">
      <w:pPr>
        <w:spacing w:after="0" w:line="300" w:lineRule="exact"/>
        <w:ind w:left="2160"/>
        <w:rPr>
          <w:rFonts w:ascii="Times New Roman" w:hAnsi="Times New Roman"/>
          <w:b/>
          <w:i/>
          <w:sz w:val="24"/>
          <w:szCs w:val="24"/>
        </w:rPr>
      </w:pPr>
      <w:r>
        <w:rPr>
          <w:rFonts w:ascii="Times New Roman" w:hAnsi="Times New Roman"/>
          <w:sz w:val="24"/>
          <w:szCs w:val="24"/>
        </w:rPr>
        <w:t>A floor [area or height]</w:t>
      </w:r>
      <w:r>
        <w:rPr>
          <w:rFonts w:ascii="Times New Roman" w:hAnsi="Times New Roman"/>
          <w:b/>
          <w:i/>
          <w:sz w:val="24"/>
          <w:szCs w:val="24"/>
        </w:rPr>
        <w:t xml:space="preserve"> </w:t>
      </w:r>
      <w:r>
        <w:rPr>
          <w:rFonts w:ascii="Times New Roman" w:hAnsi="Times New Roman"/>
          <w:i/>
          <w:sz w:val="24"/>
          <w:szCs w:val="24"/>
        </w:rPr>
        <w:t>area, height, or housing unit density</w:t>
      </w:r>
      <w:r>
        <w:rPr>
          <w:rFonts w:ascii="Times New Roman" w:hAnsi="Times New Roman"/>
          <w:sz w:val="24"/>
          <w:szCs w:val="24"/>
        </w:rPr>
        <w:t xml:space="preserve"> bonus, as applicable, may be earned by providing affordable housing at the </w:t>
      </w:r>
      <w:r w:rsidRPr="000F3DCD">
        <w:rPr>
          <w:rFonts w:ascii="Times New Roman" w:hAnsi="Times New Roman"/>
          <w:strike/>
          <w:sz w:val="24"/>
          <w:szCs w:val="24"/>
        </w:rPr>
        <w:t>following</w:t>
      </w:r>
      <w:r>
        <w:rPr>
          <w:rFonts w:ascii="Times New Roman" w:hAnsi="Times New Roman"/>
          <w:sz w:val="24"/>
          <w:szCs w:val="24"/>
        </w:rPr>
        <w:t xml:space="preserve"> </w:t>
      </w:r>
      <w:r w:rsidR="000F3DCD">
        <w:rPr>
          <w:rFonts w:ascii="Times New Roman" w:hAnsi="Times New Roman"/>
          <w:b/>
          <w:sz w:val="24"/>
          <w:szCs w:val="24"/>
        </w:rPr>
        <w:t xml:space="preserve">[following] </w:t>
      </w:r>
      <w:r>
        <w:rPr>
          <w:rFonts w:ascii="Times New Roman" w:hAnsi="Times New Roman"/>
          <w:sz w:val="24"/>
          <w:szCs w:val="24"/>
        </w:rPr>
        <w:t xml:space="preserve">levels of </w:t>
      </w:r>
      <w:r w:rsidRPr="000F3DCD">
        <w:rPr>
          <w:rFonts w:ascii="Times New Roman" w:hAnsi="Times New Roman"/>
          <w:strike/>
          <w:sz w:val="24"/>
          <w:szCs w:val="24"/>
        </w:rPr>
        <w:t>affordability.</w:t>
      </w:r>
      <w:r w:rsidR="000F3DCD">
        <w:rPr>
          <w:rFonts w:ascii="Times New Roman" w:hAnsi="Times New Roman"/>
          <w:sz w:val="24"/>
          <w:szCs w:val="24"/>
        </w:rPr>
        <w:t xml:space="preserve"> </w:t>
      </w:r>
      <w:r w:rsidR="000F3DCD">
        <w:rPr>
          <w:rFonts w:ascii="Times New Roman" w:hAnsi="Times New Roman"/>
          <w:b/>
          <w:sz w:val="24"/>
          <w:szCs w:val="24"/>
        </w:rPr>
        <w:t xml:space="preserve">[affordability.] </w:t>
      </w:r>
      <w:r w:rsidR="000F3DCD">
        <w:rPr>
          <w:rFonts w:ascii="Times New Roman" w:hAnsi="Times New Roman"/>
          <w:b/>
          <w:i/>
          <w:sz w:val="24"/>
          <w:szCs w:val="24"/>
        </w:rPr>
        <w:t xml:space="preserve">affordability </w:t>
      </w:r>
      <w:r w:rsidR="0002726C">
        <w:rPr>
          <w:rFonts w:ascii="Times New Roman" w:hAnsi="Times New Roman"/>
          <w:b/>
          <w:i/>
          <w:sz w:val="24"/>
          <w:szCs w:val="24"/>
        </w:rPr>
        <w:t xml:space="preserve">set out </w:t>
      </w:r>
      <w:r w:rsidR="000F3DCD" w:rsidRPr="000F3DCD">
        <w:rPr>
          <w:rFonts w:ascii="Times New Roman" w:hAnsi="Times New Roman"/>
          <w:b/>
          <w:i/>
          <w:sz w:val="24"/>
          <w:szCs w:val="24"/>
        </w:rPr>
        <w:t>in this §</w:t>
      </w:r>
      <w:r w:rsidR="0002726C">
        <w:rPr>
          <w:rFonts w:ascii="Times New Roman" w:hAnsi="Times New Roman"/>
          <w:b/>
          <w:i/>
          <w:sz w:val="24"/>
          <w:szCs w:val="24"/>
        </w:rPr>
        <w:t xml:space="preserve"> </w:t>
      </w:r>
      <w:r w:rsidR="000F3DCD" w:rsidRPr="000F3DCD">
        <w:rPr>
          <w:rFonts w:ascii="Times New Roman" w:hAnsi="Times New Roman"/>
          <w:b/>
          <w:i/>
          <w:sz w:val="24"/>
          <w:szCs w:val="24"/>
        </w:rPr>
        <w:t>14-702(</w:t>
      </w:r>
      <w:r w:rsidR="000F3DCD">
        <w:rPr>
          <w:rFonts w:ascii="Times New Roman" w:hAnsi="Times New Roman"/>
          <w:b/>
          <w:i/>
          <w:sz w:val="24"/>
          <w:szCs w:val="24"/>
        </w:rPr>
        <w:t>7</w:t>
      </w:r>
      <w:r w:rsidR="000F3DCD" w:rsidRPr="000F3DCD">
        <w:rPr>
          <w:rFonts w:ascii="Times New Roman" w:hAnsi="Times New Roman"/>
          <w:b/>
          <w:i/>
          <w:sz w:val="24"/>
          <w:szCs w:val="24"/>
        </w:rPr>
        <w:t>)(a). For the purposes of §</w:t>
      </w:r>
      <w:r w:rsidR="0002726C">
        <w:rPr>
          <w:rFonts w:ascii="Times New Roman" w:hAnsi="Times New Roman"/>
          <w:b/>
          <w:i/>
          <w:sz w:val="24"/>
          <w:szCs w:val="24"/>
        </w:rPr>
        <w:t xml:space="preserve"> </w:t>
      </w:r>
      <w:r w:rsidR="000F3DCD" w:rsidRPr="000F3DCD">
        <w:rPr>
          <w:rFonts w:ascii="Times New Roman" w:hAnsi="Times New Roman"/>
          <w:b/>
          <w:i/>
          <w:sz w:val="24"/>
          <w:szCs w:val="24"/>
        </w:rPr>
        <w:t>14-702(7), a household shall consist of every person who lives or intends to live in the unit, regardless of age, dependency status, or relationship. The imputed household size for determining unit affordability and occupancy requirements of §</w:t>
      </w:r>
      <w:r w:rsidR="0002726C">
        <w:rPr>
          <w:rFonts w:ascii="Times New Roman" w:hAnsi="Times New Roman"/>
          <w:b/>
          <w:i/>
          <w:sz w:val="24"/>
          <w:szCs w:val="24"/>
        </w:rPr>
        <w:t xml:space="preserve"> </w:t>
      </w:r>
      <w:r w:rsidR="000F3DCD" w:rsidRPr="000F3DCD">
        <w:rPr>
          <w:rFonts w:ascii="Times New Roman" w:hAnsi="Times New Roman"/>
          <w:b/>
          <w:i/>
          <w:sz w:val="24"/>
          <w:szCs w:val="24"/>
        </w:rPr>
        <w:t>14-702(7) shall be equal to 1.5 people per each bedroom in the unit, except for studios and efficiencies, for which the imputed household size is 1 person.</w:t>
      </w:r>
    </w:p>
    <w:p w:rsidR="00212AF3" w:rsidRDefault="00212AF3" w:rsidP="00A51A62">
      <w:pPr>
        <w:spacing w:after="0" w:line="300" w:lineRule="exact"/>
        <w:ind w:left="2160"/>
        <w:rPr>
          <w:rFonts w:ascii="Times New Roman" w:hAnsi="Times New Roman"/>
          <w:sz w:val="24"/>
          <w:szCs w:val="24"/>
        </w:rPr>
      </w:pPr>
    </w:p>
    <w:p w:rsidR="00A51A62" w:rsidRDefault="00A51A62" w:rsidP="00A51A62">
      <w:pPr>
        <w:spacing w:after="0" w:line="300" w:lineRule="exact"/>
        <w:ind w:left="1440" w:firstLine="720"/>
        <w:rPr>
          <w:rFonts w:ascii="Times New Roman" w:hAnsi="Times New Roman"/>
          <w:sz w:val="24"/>
          <w:szCs w:val="24"/>
        </w:rPr>
      </w:pPr>
      <w:r>
        <w:rPr>
          <w:rFonts w:ascii="Times New Roman" w:hAnsi="Times New Roman"/>
          <w:sz w:val="24"/>
          <w:szCs w:val="24"/>
        </w:rPr>
        <w:t>(.1)   Moderate Income.</w:t>
      </w:r>
    </w:p>
    <w:p w:rsidR="00212AF3" w:rsidRDefault="00212AF3" w:rsidP="00A51A62">
      <w:pPr>
        <w:spacing w:after="0" w:line="300" w:lineRule="exact"/>
        <w:ind w:left="2160" w:firstLine="720"/>
        <w:rPr>
          <w:rFonts w:ascii="Times New Roman" w:hAnsi="Times New Roman"/>
          <w:sz w:val="24"/>
          <w:szCs w:val="24"/>
        </w:rPr>
      </w:pPr>
    </w:p>
    <w:p w:rsidR="00A51A62" w:rsidRDefault="00A51A62" w:rsidP="00A51A62">
      <w:pPr>
        <w:spacing w:after="0" w:line="300" w:lineRule="exact"/>
        <w:ind w:left="2160" w:firstLine="720"/>
        <w:rPr>
          <w:rFonts w:ascii="Times New Roman" w:hAnsi="Times New Roman"/>
          <w:sz w:val="24"/>
          <w:szCs w:val="24"/>
        </w:rPr>
      </w:pPr>
      <w:r>
        <w:rPr>
          <w:rFonts w:ascii="Times New Roman" w:hAnsi="Times New Roman"/>
          <w:sz w:val="24"/>
          <w:szCs w:val="24"/>
        </w:rPr>
        <w:t>(.a)   Moderate Income rental units shall:</w:t>
      </w:r>
    </w:p>
    <w:p w:rsidR="00212AF3" w:rsidRDefault="00212AF3" w:rsidP="00A51A62">
      <w:pPr>
        <w:spacing w:after="0" w:line="300" w:lineRule="exact"/>
        <w:ind w:left="3600"/>
        <w:rPr>
          <w:rFonts w:ascii="Times New Roman" w:hAnsi="Times New Roman"/>
          <w:sz w:val="24"/>
          <w:szCs w:val="24"/>
        </w:rPr>
      </w:pPr>
    </w:p>
    <w:p w:rsidR="00A51A62" w:rsidRDefault="00A51A62" w:rsidP="00A51A62">
      <w:pPr>
        <w:spacing w:after="0" w:line="300" w:lineRule="exact"/>
        <w:ind w:left="3600"/>
        <w:rPr>
          <w:rFonts w:ascii="Times New Roman" w:hAnsi="Times New Roman"/>
          <w:sz w:val="24"/>
          <w:szCs w:val="24"/>
        </w:rPr>
      </w:pPr>
      <w:r>
        <w:rPr>
          <w:rFonts w:ascii="Times New Roman" w:hAnsi="Times New Roman"/>
          <w:sz w:val="24"/>
          <w:szCs w:val="24"/>
        </w:rPr>
        <w:t xml:space="preserve">(i)   Have total monthly costs (including rent and utility costs) that do not exceed 30% of gross monthly income for households earning up to [80%] </w:t>
      </w:r>
      <w:r>
        <w:rPr>
          <w:rFonts w:ascii="Times New Roman" w:hAnsi="Times New Roman"/>
          <w:i/>
          <w:sz w:val="24"/>
          <w:szCs w:val="24"/>
        </w:rPr>
        <w:t>60%</w:t>
      </w:r>
      <w:r>
        <w:rPr>
          <w:rFonts w:ascii="Times New Roman" w:hAnsi="Times New Roman"/>
          <w:sz w:val="24"/>
          <w:szCs w:val="24"/>
        </w:rPr>
        <w:t xml:space="preserve"> of the Area Median Income (AMI), adjusted for household size, as reported by the U.S. Department of Housing and Urban Development (HUD) for the Philadelphia Metropolitan [Fair Market Rent] </w:t>
      </w:r>
      <w:r>
        <w:rPr>
          <w:rFonts w:ascii="Times New Roman" w:hAnsi="Times New Roman"/>
          <w:i/>
          <w:sz w:val="24"/>
          <w:szCs w:val="24"/>
        </w:rPr>
        <w:t>Statistical</w:t>
      </w:r>
      <w:r>
        <w:rPr>
          <w:rFonts w:ascii="Times New Roman" w:hAnsi="Times New Roman"/>
          <w:sz w:val="24"/>
          <w:szCs w:val="24"/>
        </w:rPr>
        <w:t xml:space="preserve"> Area; [and]</w:t>
      </w:r>
    </w:p>
    <w:p w:rsidR="00A51A62" w:rsidRDefault="00A51A62" w:rsidP="00A51A62">
      <w:pPr>
        <w:spacing w:after="0" w:line="300" w:lineRule="exact"/>
        <w:ind w:left="3600"/>
        <w:rPr>
          <w:rFonts w:ascii="Times New Roman" w:hAnsi="Times New Roman"/>
          <w:sz w:val="24"/>
          <w:szCs w:val="24"/>
        </w:rPr>
      </w:pPr>
    </w:p>
    <w:p w:rsidR="00A51A62" w:rsidRDefault="00A51A62" w:rsidP="00A51A62">
      <w:pPr>
        <w:spacing w:after="0" w:line="300" w:lineRule="exact"/>
        <w:ind w:left="3600"/>
        <w:rPr>
          <w:rFonts w:ascii="Times New Roman" w:hAnsi="Times New Roman"/>
          <w:i/>
          <w:sz w:val="24"/>
          <w:szCs w:val="24"/>
        </w:rPr>
      </w:pPr>
      <w:r>
        <w:rPr>
          <w:rFonts w:ascii="Times New Roman" w:hAnsi="Times New Roman"/>
          <w:sz w:val="24"/>
          <w:szCs w:val="24"/>
        </w:rPr>
        <w:t xml:space="preserve">(ii)   </w:t>
      </w:r>
      <w:r w:rsidRPr="00285B80">
        <w:rPr>
          <w:rFonts w:ascii="Times New Roman" w:hAnsi="Times New Roman"/>
          <w:strike/>
          <w:sz w:val="24"/>
          <w:szCs w:val="24"/>
        </w:rPr>
        <w:t xml:space="preserve">[Be] </w:t>
      </w:r>
      <w:r w:rsidRPr="00285B80">
        <w:rPr>
          <w:rFonts w:ascii="Times New Roman" w:hAnsi="Times New Roman"/>
          <w:i/>
          <w:strike/>
          <w:sz w:val="24"/>
          <w:szCs w:val="24"/>
        </w:rPr>
        <w:t>At the time of initial occupancy, be</w:t>
      </w:r>
      <w:r>
        <w:rPr>
          <w:rFonts w:ascii="Times New Roman" w:hAnsi="Times New Roman"/>
          <w:sz w:val="24"/>
          <w:szCs w:val="24"/>
        </w:rPr>
        <w:t xml:space="preserve"> </w:t>
      </w:r>
      <w:r w:rsidR="00285B80">
        <w:rPr>
          <w:rFonts w:ascii="Times New Roman" w:hAnsi="Times New Roman"/>
          <w:b/>
          <w:sz w:val="24"/>
          <w:szCs w:val="24"/>
        </w:rPr>
        <w:t xml:space="preserve">Be </w:t>
      </w:r>
      <w:r>
        <w:rPr>
          <w:rFonts w:ascii="Times New Roman" w:hAnsi="Times New Roman"/>
          <w:sz w:val="24"/>
          <w:szCs w:val="24"/>
        </w:rPr>
        <w:t xml:space="preserve">occupied by households earning up to [80%] </w:t>
      </w:r>
      <w:r>
        <w:rPr>
          <w:rFonts w:ascii="Times New Roman" w:hAnsi="Times New Roman"/>
          <w:i/>
          <w:sz w:val="24"/>
          <w:szCs w:val="24"/>
        </w:rPr>
        <w:t>60%</w:t>
      </w:r>
      <w:r>
        <w:rPr>
          <w:rFonts w:ascii="Times New Roman" w:hAnsi="Times New Roman"/>
          <w:sz w:val="24"/>
          <w:szCs w:val="24"/>
        </w:rPr>
        <w:t xml:space="preserve"> of the Area Median Income (AMI), adjusted by household size, as reported by HUD for the Philadelphia Metropolitan [Fair Market Rent Area.] </w:t>
      </w:r>
      <w:r>
        <w:rPr>
          <w:rFonts w:ascii="Times New Roman" w:hAnsi="Times New Roman"/>
          <w:i/>
          <w:sz w:val="24"/>
          <w:szCs w:val="24"/>
        </w:rPr>
        <w:t xml:space="preserve">Statistical </w:t>
      </w:r>
      <w:r w:rsidRPr="00285B80">
        <w:rPr>
          <w:rFonts w:ascii="Times New Roman" w:hAnsi="Times New Roman"/>
          <w:i/>
          <w:strike/>
          <w:sz w:val="24"/>
          <w:szCs w:val="24"/>
        </w:rPr>
        <w:t>Area;</w:t>
      </w:r>
      <w:r w:rsidR="00285B80">
        <w:rPr>
          <w:rFonts w:ascii="Times New Roman" w:hAnsi="Times New Roman"/>
          <w:i/>
          <w:sz w:val="24"/>
          <w:szCs w:val="24"/>
        </w:rPr>
        <w:t xml:space="preserve"> </w:t>
      </w:r>
      <w:r w:rsidR="00285B80">
        <w:rPr>
          <w:rFonts w:ascii="Times New Roman" w:hAnsi="Times New Roman"/>
          <w:b/>
          <w:i/>
          <w:sz w:val="24"/>
          <w:szCs w:val="24"/>
        </w:rPr>
        <w:t xml:space="preserve">Area at the time of the household’s initial occupancy of the unit; </w:t>
      </w:r>
      <w:r>
        <w:rPr>
          <w:rFonts w:ascii="Times New Roman" w:hAnsi="Times New Roman"/>
          <w:i/>
          <w:sz w:val="24"/>
          <w:szCs w:val="24"/>
        </w:rPr>
        <w:t>and</w:t>
      </w:r>
    </w:p>
    <w:p w:rsidR="00A51A62" w:rsidRDefault="00A51A62" w:rsidP="00A51A62">
      <w:pPr>
        <w:spacing w:after="0" w:line="300" w:lineRule="exact"/>
        <w:ind w:left="3600"/>
        <w:rPr>
          <w:rFonts w:ascii="Times New Roman" w:hAnsi="Times New Roman"/>
          <w:sz w:val="24"/>
          <w:szCs w:val="24"/>
        </w:rPr>
      </w:pPr>
    </w:p>
    <w:p w:rsidR="00A51A62" w:rsidRDefault="00A51A62" w:rsidP="00A51A62">
      <w:pPr>
        <w:spacing w:after="0" w:line="300" w:lineRule="exact"/>
        <w:ind w:left="3600"/>
        <w:rPr>
          <w:rFonts w:ascii="Times New Roman" w:hAnsi="Times New Roman"/>
          <w:sz w:val="24"/>
          <w:szCs w:val="24"/>
        </w:rPr>
      </w:pPr>
      <w:r>
        <w:rPr>
          <w:rFonts w:ascii="Times New Roman" w:hAnsi="Times New Roman"/>
          <w:i/>
          <w:sz w:val="24"/>
          <w:szCs w:val="24"/>
        </w:rPr>
        <w:t>(iii)</w:t>
      </w:r>
      <w:r>
        <w:rPr>
          <w:rFonts w:ascii="Times New Roman" w:hAnsi="Times New Roman"/>
          <w:i/>
          <w:sz w:val="24"/>
          <w:szCs w:val="24"/>
        </w:rPr>
        <w:tab/>
        <w:t xml:space="preserve">At </w:t>
      </w:r>
      <w:r w:rsidRPr="00285B80">
        <w:rPr>
          <w:rFonts w:ascii="Times New Roman" w:hAnsi="Times New Roman"/>
          <w:i/>
          <w:strike/>
          <w:sz w:val="24"/>
          <w:szCs w:val="24"/>
        </w:rPr>
        <w:t>all times after initial occupancy,</w:t>
      </w:r>
      <w:r>
        <w:rPr>
          <w:rFonts w:ascii="Times New Roman" w:hAnsi="Times New Roman"/>
          <w:i/>
          <w:sz w:val="24"/>
          <w:szCs w:val="24"/>
        </w:rPr>
        <w:t xml:space="preserve"> </w:t>
      </w:r>
      <w:r w:rsidR="00285B80">
        <w:rPr>
          <w:rFonts w:ascii="Times New Roman" w:hAnsi="Times New Roman"/>
          <w:b/>
          <w:i/>
          <w:sz w:val="24"/>
          <w:szCs w:val="24"/>
        </w:rPr>
        <w:t xml:space="preserve">no time </w:t>
      </w:r>
      <w:r>
        <w:rPr>
          <w:rFonts w:ascii="Times New Roman" w:hAnsi="Times New Roman"/>
          <w:i/>
          <w:sz w:val="24"/>
          <w:szCs w:val="24"/>
        </w:rPr>
        <w:t xml:space="preserve">be occupied by households earning </w:t>
      </w:r>
      <w:r w:rsidRPr="00285B80">
        <w:rPr>
          <w:rFonts w:ascii="Times New Roman" w:hAnsi="Times New Roman"/>
          <w:i/>
          <w:strike/>
          <w:sz w:val="24"/>
          <w:szCs w:val="24"/>
        </w:rPr>
        <w:t>up to</w:t>
      </w:r>
      <w:r>
        <w:rPr>
          <w:rFonts w:ascii="Times New Roman" w:hAnsi="Times New Roman"/>
          <w:i/>
          <w:sz w:val="24"/>
          <w:szCs w:val="24"/>
        </w:rPr>
        <w:t xml:space="preserve"> </w:t>
      </w:r>
      <w:r w:rsidR="00285B80">
        <w:rPr>
          <w:rFonts w:ascii="Times New Roman" w:hAnsi="Times New Roman"/>
          <w:b/>
          <w:i/>
          <w:sz w:val="24"/>
          <w:szCs w:val="24"/>
        </w:rPr>
        <w:t xml:space="preserve">greater than </w:t>
      </w:r>
      <w:r>
        <w:rPr>
          <w:rFonts w:ascii="Times New Roman" w:hAnsi="Times New Roman"/>
          <w:i/>
          <w:sz w:val="24"/>
          <w:szCs w:val="24"/>
        </w:rPr>
        <w:t xml:space="preserve">120% of the Area Median Income (AMI), adjusted by household size, as reported by HUD for the Philadelphia Metropolitan Statistical Area; provided that, in the event the income of a tenant is found by the Department </w:t>
      </w:r>
      <w:r w:rsidR="00E01415">
        <w:rPr>
          <w:rFonts w:ascii="Times New Roman" w:hAnsi="Times New Roman"/>
          <w:b/>
          <w:i/>
          <w:sz w:val="24"/>
          <w:szCs w:val="24"/>
        </w:rPr>
        <w:t xml:space="preserve">of Planning and Development </w:t>
      </w:r>
      <w:r>
        <w:rPr>
          <w:rFonts w:ascii="Times New Roman" w:hAnsi="Times New Roman"/>
          <w:i/>
          <w:sz w:val="24"/>
          <w:szCs w:val="24"/>
        </w:rPr>
        <w:t xml:space="preserve">to exceed the maximum income provided for by this subsection (iii), a tenant shall nonetheless be deemed in compliance with this subsection (iii) until the first expiration of a lease occurring after the tenant's income first exceeded the maximum permitted by this subsection (iii).  The Department </w:t>
      </w:r>
      <w:r w:rsidR="00716AF1">
        <w:rPr>
          <w:rFonts w:ascii="Times New Roman" w:hAnsi="Times New Roman"/>
          <w:b/>
          <w:i/>
          <w:sz w:val="24"/>
          <w:szCs w:val="24"/>
        </w:rPr>
        <w:t xml:space="preserve">of Planning and Development </w:t>
      </w:r>
      <w:r>
        <w:rPr>
          <w:rFonts w:ascii="Times New Roman" w:hAnsi="Times New Roman"/>
          <w:i/>
          <w:sz w:val="24"/>
          <w:szCs w:val="24"/>
        </w:rPr>
        <w:t>may waive this requirement upon a showing of exceptional circumstances.</w:t>
      </w:r>
    </w:p>
    <w:p w:rsidR="00A51A62" w:rsidRDefault="00A51A62" w:rsidP="00A51A62">
      <w:pPr>
        <w:spacing w:after="0" w:line="300" w:lineRule="exact"/>
        <w:ind w:left="3600"/>
        <w:rPr>
          <w:rFonts w:ascii="Times New Roman" w:hAnsi="Times New Roman"/>
          <w:sz w:val="24"/>
          <w:szCs w:val="24"/>
        </w:rPr>
      </w:pPr>
    </w:p>
    <w:p w:rsidR="00A51A62" w:rsidRDefault="00A51A62" w:rsidP="00A51A62">
      <w:pPr>
        <w:spacing w:after="0" w:line="300" w:lineRule="exact"/>
        <w:ind w:left="2160" w:firstLine="720"/>
        <w:rPr>
          <w:rFonts w:ascii="Times New Roman" w:hAnsi="Times New Roman"/>
          <w:sz w:val="24"/>
          <w:szCs w:val="24"/>
        </w:rPr>
      </w:pPr>
      <w:r>
        <w:rPr>
          <w:rFonts w:ascii="Times New Roman" w:hAnsi="Times New Roman"/>
          <w:sz w:val="24"/>
          <w:szCs w:val="24"/>
        </w:rPr>
        <w:t>(.b)   Moderate Income owner-occupied units shall:</w:t>
      </w:r>
    </w:p>
    <w:p w:rsidR="00A51A62" w:rsidRDefault="00A51A62" w:rsidP="00A51A62">
      <w:pPr>
        <w:spacing w:after="0" w:line="300" w:lineRule="exact"/>
        <w:ind w:left="3600"/>
        <w:rPr>
          <w:rFonts w:ascii="Times New Roman" w:hAnsi="Times New Roman"/>
          <w:sz w:val="24"/>
          <w:szCs w:val="24"/>
        </w:rPr>
      </w:pPr>
      <w:r>
        <w:rPr>
          <w:rFonts w:ascii="Times New Roman" w:hAnsi="Times New Roman"/>
          <w:sz w:val="24"/>
          <w:szCs w:val="24"/>
        </w:rPr>
        <w:t xml:space="preserve">(i)   Have a maximum sale and resale price, during the term of affordability, calculated on the basis of a down payment of no more than 5% of the purchase price, a fixed rate 30 year mortgage, consistent with the average monthly rate published from time to time by Freddie Mac, and total monthly costs (including mortgage principal and interest, property taxes, property insurance, and condominium or homeowner association fees) that do not exceed 30% of gross monthly income for households earning up to [100%] </w:t>
      </w:r>
      <w:r>
        <w:rPr>
          <w:rFonts w:ascii="Times New Roman" w:hAnsi="Times New Roman"/>
          <w:i/>
          <w:sz w:val="24"/>
          <w:szCs w:val="24"/>
        </w:rPr>
        <w:t>80%</w:t>
      </w:r>
      <w:r>
        <w:rPr>
          <w:rFonts w:ascii="Times New Roman" w:hAnsi="Times New Roman"/>
          <w:sz w:val="24"/>
          <w:szCs w:val="24"/>
        </w:rPr>
        <w:t xml:space="preserve"> of the AMI, adjusted for household size, as reported by HUD for the Philadelphia [Primary] Metropolitan Statistical Area;</w:t>
      </w:r>
    </w:p>
    <w:p w:rsidR="00A51A62" w:rsidRDefault="00A51A62" w:rsidP="00A51A62">
      <w:pPr>
        <w:spacing w:after="0" w:line="300" w:lineRule="exact"/>
        <w:ind w:left="3600"/>
        <w:rPr>
          <w:rFonts w:ascii="Times New Roman" w:hAnsi="Times New Roman"/>
          <w:sz w:val="24"/>
          <w:szCs w:val="24"/>
        </w:rPr>
      </w:pPr>
    </w:p>
    <w:p w:rsidR="00A51A62" w:rsidRDefault="00A51A62" w:rsidP="00A51A62">
      <w:pPr>
        <w:spacing w:after="0" w:line="300" w:lineRule="exact"/>
        <w:ind w:left="3600"/>
        <w:rPr>
          <w:rFonts w:ascii="Times New Roman" w:hAnsi="Times New Roman"/>
          <w:sz w:val="24"/>
          <w:szCs w:val="24"/>
        </w:rPr>
      </w:pPr>
      <w:r>
        <w:rPr>
          <w:rFonts w:ascii="Times New Roman" w:hAnsi="Times New Roman"/>
          <w:sz w:val="24"/>
          <w:szCs w:val="24"/>
        </w:rPr>
        <w:t xml:space="preserve">(ii)   Be sold to one or more members of a household [earning] </w:t>
      </w:r>
      <w:r>
        <w:rPr>
          <w:rFonts w:ascii="Times New Roman" w:hAnsi="Times New Roman"/>
          <w:i/>
          <w:sz w:val="24"/>
          <w:szCs w:val="24"/>
        </w:rPr>
        <w:t>with household earnings</w:t>
      </w:r>
      <w:r>
        <w:rPr>
          <w:rFonts w:ascii="Times New Roman" w:hAnsi="Times New Roman"/>
          <w:sz w:val="24"/>
          <w:szCs w:val="24"/>
        </w:rPr>
        <w:t xml:space="preserve"> up to [100%] </w:t>
      </w:r>
      <w:r>
        <w:rPr>
          <w:rFonts w:ascii="Times New Roman" w:hAnsi="Times New Roman"/>
          <w:i/>
          <w:sz w:val="24"/>
          <w:szCs w:val="24"/>
        </w:rPr>
        <w:t>80%</w:t>
      </w:r>
      <w:r>
        <w:rPr>
          <w:rFonts w:ascii="Times New Roman" w:hAnsi="Times New Roman"/>
          <w:sz w:val="24"/>
          <w:szCs w:val="24"/>
        </w:rPr>
        <w:t xml:space="preserve"> of the AMI, adjusted for household size, as reported by HUD for the Philadelphia [Primary] Metropolitan Statistical Area at the time of sale; and</w:t>
      </w:r>
    </w:p>
    <w:p w:rsidR="00A51A62" w:rsidRDefault="00A51A62" w:rsidP="00A51A62">
      <w:pPr>
        <w:spacing w:after="0" w:line="300" w:lineRule="exact"/>
        <w:ind w:left="3600"/>
        <w:rPr>
          <w:rFonts w:ascii="Times New Roman" w:hAnsi="Times New Roman"/>
          <w:sz w:val="24"/>
          <w:szCs w:val="24"/>
        </w:rPr>
      </w:pPr>
    </w:p>
    <w:p w:rsidR="00A51A62" w:rsidRDefault="00A51A62" w:rsidP="00A51A62">
      <w:pPr>
        <w:spacing w:after="0" w:line="300" w:lineRule="exact"/>
        <w:ind w:left="3600"/>
        <w:rPr>
          <w:rFonts w:ascii="Times New Roman" w:hAnsi="Times New Roman"/>
          <w:sz w:val="24"/>
          <w:szCs w:val="24"/>
        </w:rPr>
      </w:pPr>
      <w:r>
        <w:rPr>
          <w:rFonts w:ascii="Times New Roman" w:hAnsi="Times New Roman"/>
          <w:sz w:val="24"/>
          <w:szCs w:val="24"/>
        </w:rPr>
        <w:lastRenderedPageBreak/>
        <w:t>(iii)   Be the principal residence of at least one person who owned the unit during the period of affordability.</w:t>
      </w:r>
    </w:p>
    <w:p w:rsidR="00A51A62" w:rsidRDefault="00A51A62" w:rsidP="00A51A62">
      <w:pPr>
        <w:spacing w:after="0" w:line="300" w:lineRule="exact"/>
        <w:ind w:left="3600"/>
        <w:rPr>
          <w:rFonts w:ascii="Times New Roman" w:hAnsi="Times New Roman"/>
          <w:sz w:val="24"/>
          <w:szCs w:val="24"/>
        </w:rPr>
      </w:pPr>
    </w:p>
    <w:p w:rsidR="00A51A62" w:rsidRDefault="00A51A62" w:rsidP="00A51A62">
      <w:pPr>
        <w:spacing w:after="0" w:line="300" w:lineRule="exact"/>
        <w:ind w:left="1440" w:firstLine="720"/>
        <w:rPr>
          <w:rFonts w:ascii="Times New Roman" w:hAnsi="Times New Roman"/>
          <w:sz w:val="24"/>
          <w:szCs w:val="24"/>
        </w:rPr>
      </w:pPr>
      <w:r>
        <w:rPr>
          <w:rFonts w:ascii="Times New Roman" w:hAnsi="Times New Roman"/>
          <w:sz w:val="24"/>
          <w:szCs w:val="24"/>
        </w:rPr>
        <w:t>(.2)   Low Income.</w:t>
      </w:r>
    </w:p>
    <w:p w:rsidR="00A51A62" w:rsidRDefault="00A51A62" w:rsidP="00A51A62">
      <w:pPr>
        <w:spacing w:after="0" w:line="300" w:lineRule="exact"/>
        <w:ind w:left="2160" w:firstLine="720"/>
        <w:rPr>
          <w:rFonts w:ascii="Times New Roman" w:hAnsi="Times New Roman"/>
          <w:sz w:val="24"/>
          <w:szCs w:val="24"/>
        </w:rPr>
      </w:pPr>
      <w:r>
        <w:rPr>
          <w:rFonts w:ascii="Times New Roman" w:hAnsi="Times New Roman"/>
          <w:sz w:val="24"/>
          <w:szCs w:val="24"/>
        </w:rPr>
        <w:t>(.a)   Low Income rental units shall:</w:t>
      </w:r>
    </w:p>
    <w:p w:rsidR="00A51A62" w:rsidRDefault="00A51A62" w:rsidP="00A51A62">
      <w:pPr>
        <w:spacing w:after="0" w:line="300" w:lineRule="exact"/>
        <w:ind w:left="3600"/>
        <w:rPr>
          <w:rFonts w:ascii="Times New Roman" w:hAnsi="Times New Roman"/>
          <w:sz w:val="24"/>
          <w:szCs w:val="24"/>
        </w:rPr>
      </w:pPr>
      <w:r>
        <w:rPr>
          <w:rFonts w:ascii="Times New Roman" w:hAnsi="Times New Roman"/>
          <w:sz w:val="24"/>
          <w:szCs w:val="24"/>
        </w:rPr>
        <w:t xml:space="preserve">(i)   Have total monthly costs (including rent and utility costs) that do not exceed 30% of gross monthly income for households earning up to [60%] </w:t>
      </w:r>
      <w:r>
        <w:rPr>
          <w:rFonts w:ascii="Times New Roman" w:hAnsi="Times New Roman"/>
          <w:i/>
          <w:sz w:val="24"/>
          <w:szCs w:val="24"/>
        </w:rPr>
        <w:t>50%</w:t>
      </w:r>
      <w:r>
        <w:rPr>
          <w:rFonts w:ascii="Times New Roman" w:hAnsi="Times New Roman"/>
          <w:sz w:val="24"/>
          <w:szCs w:val="24"/>
        </w:rPr>
        <w:t xml:space="preserve"> of the Area Median Income (AMI), adjusted for household size, as, as reported by HUD for the Philadelphia Metropolitan [Fair Market Rent] </w:t>
      </w:r>
      <w:r>
        <w:rPr>
          <w:rFonts w:ascii="Times New Roman" w:hAnsi="Times New Roman"/>
          <w:i/>
          <w:sz w:val="24"/>
          <w:szCs w:val="24"/>
        </w:rPr>
        <w:t>Statistical</w:t>
      </w:r>
      <w:r>
        <w:rPr>
          <w:rFonts w:ascii="Times New Roman" w:hAnsi="Times New Roman"/>
          <w:sz w:val="24"/>
          <w:szCs w:val="24"/>
        </w:rPr>
        <w:t xml:space="preserve"> Area; [and]</w:t>
      </w:r>
    </w:p>
    <w:p w:rsidR="00A51A62" w:rsidRDefault="00A51A62" w:rsidP="00A51A62">
      <w:pPr>
        <w:spacing w:after="0" w:line="300" w:lineRule="exact"/>
        <w:ind w:left="3600"/>
        <w:rPr>
          <w:rFonts w:ascii="Times New Roman" w:hAnsi="Times New Roman"/>
          <w:sz w:val="24"/>
          <w:szCs w:val="24"/>
        </w:rPr>
      </w:pPr>
    </w:p>
    <w:p w:rsidR="00A51A62" w:rsidRDefault="00A51A62" w:rsidP="00A51A62">
      <w:pPr>
        <w:spacing w:after="0" w:line="300" w:lineRule="exact"/>
        <w:ind w:left="3600"/>
        <w:rPr>
          <w:rFonts w:ascii="Times New Roman" w:hAnsi="Times New Roman"/>
          <w:i/>
          <w:sz w:val="24"/>
          <w:szCs w:val="24"/>
        </w:rPr>
      </w:pPr>
      <w:r>
        <w:rPr>
          <w:rFonts w:ascii="Times New Roman" w:hAnsi="Times New Roman"/>
          <w:sz w:val="24"/>
          <w:szCs w:val="24"/>
        </w:rPr>
        <w:t xml:space="preserve">(ii)   </w:t>
      </w:r>
      <w:r w:rsidRPr="00716AF1">
        <w:rPr>
          <w:rFonts w:ascii="Times New Roman" w:hAnsi="Times New Roman"/>
          <w:strike/>
          <w:sz w:val="24"/>
          <w:szCs w:val="24"/>
        </w:rPr>
        <w:t xml:space="preserve">[Be] </w:t>
      </w:r>
      <w:r w:rsidRPr="00716AF1">
        <w:rPr>
          <w:rFonts w:ascii="Times New Roman" w:hAnsi="Times New Roman"/>
          <w:i/>
          <w:strike/>
          <w:sz w:val="24"/>
          <w:szCs w:val="24"/>
        </w:rPr>
        <w:t>At the time of initial occupancy, be</w:t>
      </w:r>
      <w:r>
        <w:rPr>
          <w:rFonts w:ascii="Times New Roman" w:hAnsi="Times New Roman"/>
          <w:sz w:val="24"/>
          <w:szCs w:val="24"/>
        </w:rPr>
        <w:t xml:space="preserve"> </w:t>
      </w:r>
      <w:r w:rsidR="00716AF1">
        <w:rPr>
          <w:rFonts w:ascii="Times New Roman" w:hAnsi="Times New Roman"/>
          <w:b/>
          <w:sz w:val="24"/>
          <w:szCs w:val="24"/>
        </w:rPr>
        <w:t xml:space="preserve">Be </w:t>
      </w:r>
      <w:r>
        <w:rPr>
          <w:rFonts w:ascii="Times New Roman" w:hAnsi="Times New Roman"/>
          <w:sz w:val="24"/>
          <w:szCs w:val="24"/>
        </w:rPr>
        <w:t xml:space="preserve">occupied by households earning up to [60%] </w:t>
      </w:r>
      <w:r>
        <w:rPr>
          <w:rFonts w:ascii="Times New Roman" w:hAnsi="Times New Roman"/>
          <w:i/>
          <w:sz w:val="24"/>
          <w:szCs w:val="24"/>
        </w:rPr>
        <w:t>50%</w:t>
      </w:r>
      <w:r>
        <w:rPr>
          <w:rFonts w:ascii="Times New Roman" w:hAnsi="Times New Roman"/>
          <w:sz w:val="24"/>
          <w:szCs w:val="24"/>
        </w:rPr>
        <w:t xml:space="preserve"> of the Area Median Income (AMI), adjusted by household size, as reported by HUD for the Philadelphia Metropolitan [Fair Market Rent Area.] </w:t>
      </w:r>
      <w:r>
        <w:rPr>
          <w:rFonts w:ascii="Times New Roman" w:hAnsi="Times New Roman"/>
          <w:i/>
          <w:sz w:val="24"/>
          <w:szCs w:val="24"/>
        </w:rPr>
        <w:t xml:space="preserve">Statistical </w:t>
      </w:r>
      <w:r w:rsidRPr="00716AF1">
        <w:rPr>
          <w:rFonts w:ascii="Times New Roman" w:hAnsi="Times New Roman"/>
          <w:i/>
          <w:strike/>
          <w:sz w:val="24"/>
          <w:szCs w:val="24"/>
        </w:rPr>
        <w:t>Area;</w:t>
      </w:r>
      <w:r>
        <w:rPr>
          <w:rFonts w:ascii="Times New Roman" w:hAnsi="Times New Roman"/>
          <w:i/>
          <w:sz w:val="24"/>
          <w:szCs w:val="24"/>
        </w:rPr>
        <w:t xml:space="preserve"> </w:t>
      </w:r>
      <w:r w:rsidR="00716AF1">
        <w:rPr>
          <w:rFonts w:ascii="Times New Roman" w:hAnsi="Times New Roman"/>
          <w:b/>
          <w:i/>
          <w:sz w:val="24"/>
          <w:szCs w:val="24"/>
        </w:rPr>
        <w:t xml:space="preserve">Area at the time of the household’s initial occupancy of the unit; </w:t>
      </w:r>
      <w:r>
        <w:rPr>
          <w:rFonts w:ascii="Times New Roman" w:hAnsi="Times New Roman"/>
          <w:i/>
          <w:sz w:val="24"/>
          <w:szCs w:val="24"/>
        </w:rPr>
        <w:t>and</w:t>
      </w:r>
    </w:p>
    <w:p w:rsidR="00A51A62" w:rsidRDefault="00A51A62" w:rsidP="00A51A62">
      <w:pPr>
        <w:spacing w:after="0" w:line="300" w:lineRule="exact"/>
        <w:ind w:left="3600"/>
        <w:rPr>
          <w:rFonts w:ascii="Times New Roman" w:hAnsi="Times New Roman"/>
          <w:i/>
          <w:sz w:val="24"/>
          <w:szCs w:val="24"/>
        </w:rPr>
      </w:pPr>
    </w:p>
    <w:p w:rsidR="00A51A62" w:rsidRDefault="00A51A62" w:rsidP="00A51A62">
      <w:pPr>
        <w:spacing w:after="0" w:line="300" w:lineRule="exact"/>
        <w:ind w:left="3600"/>
        <w:rPr>
          <w:rFonts w:ascii="Times New Roman" w:hAnsi="Times New Roman"/>
          <w:sz w:val="24"/>
          <w:szCs w:val="24"/>
        </w:rPr>
      </w:pPr>
      <w:r>
        <w:rPr>
          <w:rFonts w:ascii="Times New Roman" w:hAnsi="Times New Roman"/>
          <w:i/>
          <w:sz w:val="24"/>
          <w:szCs w:val="24"/>
        </w:rPr>
        <w:t>(iii)</w:t>
      </w:r>
      <w:r>
        <w:rPr>
          <w:rFonts w:ascii="Times New Roman" w:hAnsi="Times New Roman"/>
          <w:i/>
          <w:sz w:val="24"/>
          <w:szCs w:val="24"/>
        </w:rPr>
        <w:tab/>
        <w:t xml:space="preserve">At </w:t>
      </w:r>
      <w:r w:rsidRPr="00716AF1">
        <w:rPr>
          <w:rFonts w:ascii="Times New Roman" w:hAnsi="Times New Roman"/>
          <w:i/>
          <w:strike/>
          <w:sz w:val="24"/>
          <w:szCs w:val="24"/>
        </w:rPr>
        <w:t>all times after initial occupancy,</w:t>
      </w:r>
      <w:r>
        <w:rPr>
          <w:rFonts w:ascii="Times New Roman" w:hAnsi="Times New Roman"/>
          <w:i/>
          <w:sz w:val="24"/>
          <w:szCs w:val="24"/>
        </w:rPr>
        <w:t xml:space="preserve"> </w:t>
      </w:r>
      <w:r w:rsidR="00716AF1">
        <w:rPr>
          <w:rFonts w:ascii="Times New Roman" w:hAnsi="Times New Roman"/>
          <w:b/>
          <w:i/>
          <w:sz w:val="24"/>
          <w:szCs w:val="24"/>
        </w:rPr>
        <w:t xml:space="preserve">no time </w:t>
      </w:r>
      <w:r>
        <w:rPr>
          <w:rFonts w:ascii="Times New Roman" w:hAnsi="Times New Roman"/>
          <w:i/>
          <w:sz w:val="24"/>
          <w:szCs w:val="24"/>
        </w:rPr>
        <w:t xml:space="preserve">be occupied by households earning </w:t>
      </w:r>
      <w:r w:rsidRPr="00716AF1">
        <w:rPr>
          <w:rFonts w:ascii="Times New Roman" w:hAnsi="Times New Roman"/>
          <w:i/>
          <w:strike/>
          <w:sz w:val="24"/>
          <w:szCs w:val="24"/>
        </w:rPr>
        <w:t>up to</w:t>
      </w:r>
      <w:r>
        <w:rPr>
          <w:rFonts w:ascii="Times New Roman" w:hAnsi="Times New Roman"/>
          <w:i/>
          <w:sz w:val="24"/>
          <w:szCs w:val="24"/>
        </w:rPr>
        <w:t xml:space="preserve"> </w:t>
      </w:r>
      <w:r w:rsidR="00716AF1">
        <w:rPr>
          <w:rFonts w:ascii="Times New Roman" w:hAnsi="Times New Roman"/>
          <w:b/>
          <w:i/>
          <w:sz w:val="24"/>
          <w:szCs w:val="24"/>
        </w:rPr>
        <w:t xml:space="preserve">greater than </w:t>
      </w:r>
      <w:r>
        <w:rPr>
          <w:rFonts w:ascii="Times New Roman" w:hAnsi="Times New Roman"/>
          <w:i/>
          <w:sz w:val="24"/>
          <w:szCs w:val="24"/>
        </w:rPr>
        <w:t xml:space="preserve">100% of the Area Median Income (AMI), adjusted by household size, as reported by HUD for the Philadelphia Metropolitan Statistical Area; provided that, in the event the income of a tenant is found by the Department </w:t>
      </w:r>
      <w:r w:rsidR="00716AF1">
        <w:rPr>
          <w:rFonts w:ascii="Times New Roman" w:hAnsi="Times New Roman"/>
          <w:b/>
          <w:i/>
          <w:sz w:val="24"/>
          <w:szCs w:val="24"/>
        </w:rPr>
        <w:t xml:space="preserve">of Planning and Development </w:t>
      </w:r>
      <w:r>
        <w:rPr>
          <w:rFonts w:ascii="Times New Roman" w:hAnsi="Times New Roman"/>
          <w:i/>
          <w:sz w:val="24"/>
          <w:szCs w:val="24"/>
        </w:rPr>
        <w:t xml:space="preserve">to first exceed the maximum income provided for by this subsection (iii), a tenant shall nonetheless be deemed in compliance with this subsection (iii) until the first expiration of a lease occurring after the tenant's income exceeded the maximum permitted by this subsection (iii).  The Department </w:t>
      </w:r>
      <w:r w:rsidR="00716AF1">
        <w:rPr>
          <w:rFonts w:ascii="Times New Roman" w:hAnsi="Times New Roman"/>
          <w:b/>
          <w:i/>
          <w:sz w:val="24"/>
          <w:szCs w:val="24"/>
        </w:rPr>
        <w:t xml:space="preserve">of Planning and Development </w:t>
      </w:r>
      <w:r>
        <w:rPr>
          <w:rFonts w:ascii="Times New Roman" w:hAnsi="Times New Roman"/>
          <w:i/>
          <w:sz w:val="24"/>
          <w:szCs w:val="24"/>
        </w:rPr>
        <w:t>may waive this requirement upon a showing of exceptional circumstances.</w:t>
      </w:r>
    </w:p>
    <w:p w:rsidR="00A51A62" w:rsidRDefault="00A51A62" w:rsidP="00A51A62">
      <w:pPr>
        <w:spacing w:after="0" w:line="300" w:lineRule="exact"/>
        <w:ind w:left="3600"/>
        <w:rPr>
          <w:rFonts w:ascii="Times New Roman" w:hAnsi="Times New Roman"/>
          <w:sz w:val="24"/>
          <w:szCs w:val="24"/>
        </w:rPr>
      </w:pPr>
    </w:p>
    <w:p w:rsidR="00A51A62" w:rsidRDefault="00A51A62" w:rsidP="00A51A62">
      <w:pPr>
        <w:spacing w:after="0" w:line="300" w:lineRule="exact"/>
        <w:ind w:left="2160" w:firstLine="720"/>
        <w:rPr>
          <w:rFonts w:ascii="Times New Roman" w:hAnsi="Times New Roman"/>
          <w:sz w:val="24"/>
          <w:szCs w:val="24"/>
        </w:rPr>
      </w:pPr>
      <w:r>
        <w:rPr>
          <w:rFonts w:ascii="Times New Roman" w:hAnsi="Times New Roman"/>
          <w:sz w:val="24"/>
          <w:szCs w:val="24"/>
        </w:rPr>
        <w:t>(.b)   Low Income owner-occupied units shall:</w:t>
      </w:r>
    </w:p>
    <w:p w:rsidR="00A51A62" w:rsidRDefault="00A51A62" w:rsidP="00A51A62">
      <w:pPr>
        <w:spacing w:after="0" w:line="300" w:lineRule="exact"/>
        <w:ind w:left="3600"/>
        <w:rPr>
          <w:rFonts w:ascii="Times New Roman" w:hAnsi="Times New Roman"/>
          <w:sz w:val="24"/>
          <w:szCs w:val="24"/>
        </w:rPr>
      </w:pPr>
      <w:r>
        <w:rPr>
          <w:rFonts w:ascii="Times New Roman" w:hAnsi="Times New Roman"/>
          <w:sz w:val="24"/>
          <w:szCs w:val="24"/>
        </w:rPr>
        <w:t xml:space="preserve">(i)   Have a maximum sale and resale price, during the term of affordability, calculated on the basis of a down payment of no more than 5% of the purchase price, a fixed rate 30 year mortgage, consistent with the average monthly rate published from time to time by Freddie Mac, and total monthly costs (including mortgage principal and interest, property taxes, property insurance, and condominium or homeowner association fees) that do not exceed 30% of </w:t>
      </w:r>
      <w:r>
        <w:rPr>
          <w:rFonts w:ascii="Times New Roman" w:hAnsi="Times New Roman"/>
          <w:sz w:val="24"/>
          <w:szCs w:val="24"/>
        </w:rPr>
        <w:lastRenderedPageBreak/>
        <w:t xml:space="preserve">gross monthly income for households earning up to [80%] </w:t>
      </w:r>
      <w:r>
        <w:rPr>
          <w:rFonts w:ascii="Times New Roman" w:hAnsi="Times New Roman"/>
          <w:i/>
          <w:sz w:val="24"/>
          <w:szCs w:val="24"/>
        </w:rPr>
        <w:t>70%</w:t>
      </w:r>
      <w:r>
        <w:rPr>
          <w:rFonts w:ascii="Times New Roman" w:hAnsi="Times New Roman"/>
          <w:sz w:val="24"/>
          <w:szCs w:val="24"/>
        </w:rPr>
        <w:t xml:space="preserve"> of the AMI, adjusted for household size, as reported by HUD for the Philadelphia [Primary] Metropolitan Statistical Area.</w:t>
      </w:r>
    </w:p>
    <w:p w:rsidR="00A51A62" w:rsidRDefault="00A51A62" w:rsidP="00A51A62">
      <w:pPr>
        <w:spacing w:after="0" w:line="300" w:lineRule="exact"/>
        <w:ind w:left="3600"/>
        <w:rPr>
          <w:rFonts w:ascii="Times New Roman" w:hAnsi="Times New Roman"/>
          <w:sz w:val="24"/>
          <w:szCs w:val="24"/>
        </w:rPr>
      </w:pPr>
    </w:p>
    <w:p w:rsidR="00A51A62" w:rsidRDefault="00A51A62" w:rsidP="00A51A62">
      <w:pPr>
        <w:spacing w:after="0" w:line="300" w:lineRule="exact"/>
        <w:ind w:left="3600"/>
        <w:rPr>
          <w:rFonts w:ascii="Times New Roman" w:hAnsi="Times New Roman"/>
          <w:sz w:val="24"/>
          <w:szCs w:val="24"/>
        </w:rPr>
      </w:pPr>
      <w:r>
        <w:rPr>
          <w:rFonts w:ascii="Times New Roman" w:hAnsi="Times New Roman"/>
          <w:sz w:val="24"/>
          <w:szCs w:val="24"/>
        </w:rPr>
        <w:t xml:space="preserve">(ii)   Be sold to one or more members of a household [earning] </w:t>
      </w:r>
      <w:r>
        <w:rPr>
          <w:rFonts w:ascii="Times New Roman" w:hAnsi="Times New Roman"/>
          <w:i/>
          <w:sz w:val="24"/>
          <w:szCs w:val="24"/>
        </w:rPr>
        <w:t>with household earnings</w:t>
      </w:r>
      <w:r>
        <w:rPr>
          <w:rFonts w:ascii="Times New Roman" w:hAnsi="Times New Roman"/>
          <w:b/>
          <w:i/>
          <w:sz w:val="24"/>
          <w:szCs w:val="24"/>
        </w:rPr>
        <w:t xml:space="preserve"> </w:t>
      </w:r>
      <w:r>
        <w:rPr>
          <w:rFonts w:ascii="Times New Roman" w:hAnsi="Times New Roman"/>
          <w:sz w:val="24"/>
          <w:szCs w:val="24"/>
        </w:rPr>
        <w:t xml:space="preserve">up to [80%] </w:t>
      </w:r>
      <w:r>
        <w:rPr>
          <w:rFonts w:ascii="Times New Roman" w:hAnsi="Times New Roman"/>
          <w:i/>
          <w:sz w:val="24"/>
          <w:szCs w:val="24"/>
        </w:rPr>
        <w:t>70%</w:t>
      </w:r>
      <w:r>
        <w:rPr>
          <w:rFonts w:ascii="Times New Roman" w:hAnsi="Times New Roman"/>
          <w:sz w:val="24"/>
          <w:szCs w:val="24"/>
        </w:rPr>
        <w:t xml:space="preserve"> of the AMI, adjusted for household size, as reported by HUD for the Philadelphia [Primary] Metropolitan Statistical Area at the time of sale; and</w:t>
      </w:r>
    </w:p>
    <w:p w:rsidR="00A51A62" w:rsidRDefault="00A51A62" w:rsidP="00A51A62">
      <w:pPr>
        <w:spacing w:after="0" w:line="300" w:lineRule="exact"/>
        <w:ind w:left="3600"/>
        <w:rPr>
          <w:rFonts w:ascii="Times New Roman" w:hAnsi="Times New Roman"/>
          <w:sz w:val="24"/>
          <w:szCs w:val="24"/>
        </w:rPr>
      </w:pPr>
    </w:p>
    <w:p w:rsidR="00A51A62" w:rsidRDefault="00A51A62" w:rsidP="00A51A62">
      <w:pPr>
        <w:spacing w:after="0" w:line="300" w:lineRule="exact"/>
        <w:ind w:left="3600"/>
        <w:rPr>
          <w:rFonts w:ascii="Times New Roman" w:hAnsi="Times New Roman"/>
          <w:sz w:val="24"/>
          <w:szCs w:val="24"/>
        </w:rPr>
      </w:pPr>
      <w:r>
        <w:rPr>
          <w:rFonts w:ascii="Times New Roman" w:hAnsi="Times New Roman"/>
          <w:sz w:val="24"/>
          <w:szCs w:val="24"/>
        </w:rPr>
        <w:t>(iii)   Be the principal residence of at least one person who owned the unit during the period of affordability.</w:t>
      </w:r>
    </w:p>
    <w:p w:rsidR="00A51A62" w:rsidRDefault="00A51A62" w:rsidP="00A51A62">
      <w:pPr>
        <w:spacing w:after="0" w:line="300" w:lineRule="exact"/>
        <w:ind w:left="3600"/>
        <w:rPr>
          <w:rFonts w:ascii="Times New Roman" w:hAnsi="Times New Roman"/>
          <w:sz w:val="24"/>
          <w:szCs w:val="24"/>
        </w:rPr>
      </w:pPr>
    </w:p>
    <w:p w:rsidR="00A51A62" w:rsidRDefault="00A51A62" w:rsidP="00A51A62">
      <w:pPr>
        <w:spacing w:after="0" w:line="300" w:lineRule="exact"/>
        <w:ind w:left="720" w:firstLine="720"/>
        <w:rPr>
          <w:rFonts w:ascii="Times New Roman" w:hAnsi="Times New Roman"/>
          <w:sz w:val="24"/>
          <w:szCs w:val="24"/>
        </w:rPr>
      </w:pPr>
      <w:r>
        <w:rPr>
          <w:rFonts w:ascii="Times New Roman" w:hAnsi="Times New Roman"/>
          <w:sz w:val="24"/>
          <w:szCs w:val="24"/>
        </w:rPr>
        <w:t xml:space="preserve">(b)   Criteria. </w:t>
      </w:r>
    </w:p>
    <w:p w:rsidR="00A51A62" w:rsidRDefault="00A51A62" w:rsidP="00A51A62">
      <w:pPr>
        <w:spacing w:after="0" w:line="300" w:lineRule="exact"/>
        <w:ind w:left="1440"/>
        <w:rPr>
          <w:rFonts w:ascii="Times New Roman" w:hAnsi="Times New Roman"/>
          <w:sz w:val="24"/>
          <w:szCs w:val="24"/>
        </w:rPr>
      </w:pPr>
      <w:r>
        <w:rPr>
          <w:rFonts w:ascii="Times New Roman" w:hAnsi="Times New Roman"/>
          <w:sz w:val="24"/>
          <w:szCs w:val="24"/>
        </w:rPr>
        <w:t>A floor [area bonus or height]</w:t>
      </w:r>
      <w:r>
        <w:rPr>
          <w:rFonts w:ascii="Times New Roman" w:hAnsi="Times New Roman"/>
          <w:b/>
          <w:i/>
          <w:sz w:val="24"/>
          <w:szCs w:val="24"/>
        </w:rPr>
        <w:t xml:space="preserve"> </w:t>
      </w:r>
      <w:r>
        <w:rPr>
          <w:rFonts w:ascii="Times New Roman" w:hAnsi="Times New Roman"/>
          <w:i/>
          <w:sz w:val="24"/>
          <w:szCs w:val="24"/>
        </w:rPr>
        <w:t>area, height, or housing unit density</w:t>
      </w:r>
      <w:r>
        <w:rPr>
          <w:rFonts w:ascii="Times New Roman" w:hAnsi="Times New Roman"/>
          <w:sz w:val="24"/>
          <w:szCs w:val="24"/>
        </w:rPr>
        <w:t xml:space="preserve"> bonus, as applicable, may be earned </w:t>
      </w:r>
      <w:r>
        <w:rPr>
          <w:rFonts w:ascii="Times New Roman" w:hAnsi="Times New Roman"/>
          <w:i/>
          <w:sz w:val="24"/>
          <w:szCs w:val="24"/>
        </w:rPr>
        <w:t>(i)</w:t>
      </w:r>
      <w:r>
        <w:rPr>
          <w:rFonts w:ascii="Times New Roman" w:hAnsi="Times New Roman"/>
          <w:sz w:val="24"/>
          <w:szCs w:val="24"/>
        </w:rPr>
        <w:t xml:space="preserve"> by providing affordable housing, provided that [it] </w:t>
      </w:r>
      <w:r>
        <w:rPr>
          <w:rFonts w:ascii="Times New Roman" w:hAnsi="Times New Roman"/>
          <w:i/>
          <w:sz w:val="24"/>
          <w:szCs w:val="24"/>
        </w:rPr>
        <w:t>the project</w:t>
      </w:r>
      <w:r>
        <w:rPr>
          <w:rFonts w:ascii="Times New Roman" w:hAnsi="Times New Roman"/>
          <w:sz w:val="24"/>
          <w:szCs w:val="24"/>
        </w:rPr>
        <w:t xml:space="preserve"> meets the [following standards:] </w:t>
      </w:r>
      <w:r>
        <w:rPr>
          <w:rFonts w:ascii="Times New Roman" w:hAnsi="Times New Roman"/>
          <w:i/>
          <w:sz w:val="24"/>
          <w:szCs w:val="24"/>
        </w:rPr>
        <w:t>standards set forth in subparagraphs (.1) through (.5), below; or (ii) if the owner of the property enters into a payment-in-lieu agreement that meets the standards set forth in subparagraph (.6), below.  This bonus is not available for developments of subsidized housing where 51% or more of the dwelling units will be affordable under any of the definitions set forth in subsection (a) (“Affordability”), above, and is not available for developments where less than 50% of gross floor area will be in residential use.</w:t>
      </w:r>
    </w:p>
    <w:p w:rsidR="00A51A62" w:rsidRDefault="00A51A62" w:rsidP="00A51A62">
      <w:pPr>
        <w:spacing w:after="0" w:line="300" w:lineRule="exact"/>
        <w:ind w:left="2160"/>
        <w:rPr>
          <w:rFonts w:ascii="Times New Roman" w:hAnsi="Times New Roman"/>
          <w:sz w:val="24"/>
          <w:szCs w:val="24"/>
        </w:rPr>
      </w:pPr>
      <w:r>
        <w:rPr>
          <w:rFonts w:ascii="Times New Roman" w:hAnsi="Times New Roman"/>
          <w:sz w:val="24"/>
          <w:szCs w:val="24"/>
        </w:rPr>
        <w:t xml:space="preserve">(.1)   At least 10% of [a minimum of five] residential dwelling units </w:t>
      </w:r>
      <w:r>
        <w:rPr>
          <w:rFonts w:ascii="Times New Roman" w:hAnsi="Times New Roman"/>
          <w:i/>
          <w:sz w:val="24"/>
          <w:szCs w:val="24"/>
        </w:rPr>
        <w:t>(rounded up, if fractional)</w:t>
      </w:r>
      <w:r>
        <w:rPr>
          <w:rFonts w:ascii="Times New Roman" w:hAnsi="Times New Roman"/>
          <w:b/>
          <w:i/>
          <w:sz w:val="24"/>
          <w:szCs w:val="24"/>
        </w:rPr>
        <w:t xml:space="preserve"> </w:t>
      </w:r>
      <w:r>
        <w:rPr>
          <w:rFonts w:ascii="Times New Roman" w:hAnsi="Times New Roman"/>
          <w:sz w:val="24"/>
          <w:szCs w:val="24"/>
        </w:rPr>
        <w:t xml:space="preserve">constructed using base floor area ratio shall be </w:t>
      </w:r>
      <w:r>
        <w:rPr>
          <w:rFonts w:ascii="Times New Roman" w:hAnsi="Times New Roman"/>
          <w:i/>
          <w:sz w:val="24"/>
          <w:szCs w:val="24"/>
        </w:rPr>
        <w:t>provided and maintained as</w:t>
      </w:r>
      <w:r>
        <w:rPr>
          <w:rFonts w:ascii="Times New Roman" w:hAnsi="Times New Roman"/>
          <w:b/>
          <w:i/>
          <w:sz w:val="24"/>
          <w:szCs w:val="24"/>
        </w:rPr>
        <w:t xml:space="preserve"> </w:t>
      </w:r>
      <w:r>
        <w:rPr>
          <w:rFonts w:ascii="Times New Roman" w:hAnsi="Times New Roman"/>
          <w:sz w:val="24"/>
          <w:szCs w:val="24"/>
        </w:rPr>
        <w:t>affordable, as defined in § 14-702(7)(a)(.1) or § 14-702(7)(a)(.2), above.</w:t>
      </w:r>
    </w:p>
    <w:p w:rsidR="00A51A62" w:rsidRDefault="00A51A62" w:rsidP="00A51A62">
      <w:pPr>
        <w:spacing w:after="0" w:line="300" w:lineRule="exact"/>
        <w:ind w:left="2160"/>
        <w:rPr>
          <w:rFonts w:ascii="Times New Roman" w:hAnsi="Times New Roman"/>
          <w:sz w:val="24"/>
          <w:szCs w:val="24"/>
        </w:rPr>
      </w:pPr>
    </w:p>
    <w:p w:rsidR="00A51A62" w:rsidRDefault="00A51A62" w:rsidP="00A51A62">
      <w:pPr>
        <w:spacing w:after="0" w:line="300" w:lineRule="exact"/>
        <w:ind w:left="2160"/>
        <w:rPr>
          <w:rFonts w:ascii="Times New Roman" w:hAnsi="Times New Roman"/>
          <w:sz w:val="24"/>
          <w:szCs w:val="24"/>
        </w:rPr>
      </w:pPr>
      <w:r>
        <w:rPr>
          <w:rFonts w:ascii="Times New Roman" w:hAnsi="Times New Roman"/>
          <w:sz w:val="24"/>
          <w:szCs w:val="24"/>
        </w:rPr>
        <w:t>[(.2)   This bonus is not available to developers of subsidized housing where 51% or more of the dwelling units will be affordable as defined by § 14-702(7)(a)(.1) or § 14-702(7)(a)(.2).]</w:t>
      </w:r>
    </w:p>
    <w:p w:rsidR="00A51A62" w:rsidRDefault="00A51A62" w:rsidP="00A51A62">
      <w:pPr>
        <w:spacing w:after="0" w:line="300" w:lineRule="exact"/>
        <w:ind w:left="2160"/>
        <w:rPr>
          <w:rFonts w:ascii="Times New Roman" w:hAnsi="Times New Roman"/>
          <w:sz w:val="24"/>
          <w:szCs w:val="24"/>
        </w:rPr>
      </w:pPr>
    </w:p>
    <w:p w:rsidR="00A51A62" w:rsidRDefault="00A51A62" w:rsidP="00A51A62">
      <w:pPr>
        <w:spacing w:after="0" w:line="300" w:lineRule="exact"/>
        <w:ind w:left="2160"/>
        <w:rPr>
          <w:rFonts w:ascii="Times New Roman" w:hAnsi="Times New Roman"/>
          <w:b/>
          <w:i/>
          <w:sz w:val="24"/>
          <w:szCs w:val="24"/>
        </w:rPr>
      </w:pPr>
      <w:r>
        <w:rPr>
          <w:rFonts w:ascii="Times New Roman" w:hAnsi="Times New Roman"/>
          <w:sz w:val="24"/>
          <w:szCs w:val="24"/>
        </w:rPr>
        <w:t xml:space="preserve">[(.3)] </w:t>
      </w:r>
      <w:r>
        <w:rPr>
          <w:rFonts w:ascii="Times New Roman" w:hAnsi="Times New Roman"/>
          <w:i/>
          <w:sz w:val="24"/>
          <w:szCs w:val="24"/>
        </w:rPr>
        <w:t>(.2)</w:t>
      </w:r>
      <w:r>
        <w:rPr>
          <w:rFonts w:ascii="Times New Roman" w:hAnsi="Times New Roman"/>
          <w:sz w:val="24"/>
          <w:szCs w:val="24"/>
        </w:rPr>
        <w:t xml:space="preserve">   Affordable units shall be affordable, as defined in § 14-702(7)(a)(.1) or § 14-702(7)(a)(.2), for a term of not less than [15]</w:t>
      </w:r>
      <w:r>
        <w:rPr>
          <w:rFonts w:ascii="Times New Roman" w:hAnsi="Times New Roman"/>
          <w:i/>
          <w:sz w:val="24"/>
          <w:szCs w:val="24"/>
        </w:rPr>
        <w:t>50</w:t>
      </w:r>
      <w:r>
        <w:rPr>
          <w:rFonts w:ascii="Times New Roman" w:hAnsi="Times New Roman"/>
          <w:sz w:val="24"/>
          <w:szCs w:val="24"/>
        </w:rPr>
        <w:t xml:space="preserve"> years with future sales, affordability, compliance, and certain legal remedies within such period governed by a [restrictive covenant or long-term ground lease approved by the Law Department before the issuance of a building permit.] </w:t>
      </w:r>
      <w:r>
        <w:rPr>
          <w:rFonts w:ascii="Times New Roman" w:hAnsi="Times New Roman"/>
          <w:i/>
          <w:sz w:val="24"/>
          <w:szCs w:val="24"/>
        </w:rPr>
        <w:t>recorded instrument or instruments in favor of the City, in substance satisfactory to the Department</w:t>
      </w:r>
      <w:r w:rsidR="00535F7F">
        <w:rPr>
          <w:rFonts w:ascii="Times New Roman" w:hAnsi="Times New Roman"/>
          <w:i/>
          <w:sz w:val="24"/>
          <w:szCs w:val="24"/>
        </w:rPr>
        <w:t xml:space="preserve"> </w:t>
      </w:r>
      <w:r w:rsidR="00535F7F">
        <w:rPr>
          <w:rFonts w:ascii="Times New Roman" w:hAnsi="Times New Roman"/>
          <w:b/>
          <w:i/>
          <w:sz w:val="24"/>
          <w:szCs w:val="24"/>
        </w:rPr>
        <w:t>of Planning and Development</w:t>
      </w:r>
      <w:r>
        <w:rPr>
          <w:rFonts w:ascii="Times New Roman" w:hAnsi="Times New Roman"/>
          <w:i/>
          <w:sz w:val="24"/>
          <w:szCs w:val="24"/>
        </w:rPr>
        <w:t xml:space="preserve"> and in form satisfactory to the Law Department, committing to satisfy all requirements of this subsection (b).</w:t>
      </w:r>
      <w:r>
        <w:rPr>
          <w:rFonts w:ascii="Times New Roman" w:hAnsi="Times New Roman"/>
          <w:b/>
          <w:i/>
          <w:sz w:val="24"/>
          <w:szCs w:val="24"/>
        </w:rPr>
        <w:t xml:space="preserve">  </w:t>
      </w:r>
    </w:p>
    <w:p w:rsidR="00A51A62" w:rsidRDefault="00A51A62" w:rsidP="00A51A62">
      <w:pPr>
        <w:spacing w:after="0" w:line="300" w:lineRule="exact"/>
        <w:ind w:left="2160"/>
        <w:rPr>
          <w:rFonts w:ascii="Times New Roman" w:hAnsi="Times New Roman"/>
          <w:sz w:val="24"/>
          <w:szCs w:val="24"/>
        </w:rPr>
      </w:pPr>
    </w:p>
    <w:p w:rsidR="00A51A62" w:rsidRDefault="00A51A62" w:rsidP="00A51A62">
      <w:pPr>
        <w:spacing w:after="0" w:line="300" w:lineRule="exact"/>
        <w:ind w:left="2160"/>
        <w:rPr>
          <w:rFonts w:ascii="Times New Roman" w:hAnsi="Times New Roman"/>
          <w:i/>
          <w:sz w:val="24"/>
          <w:szCs w:val="24"/>
        </w:rPr>
      </w:pPr>
      <w:r>
        <w:rPr>
          <w:rFonts w:ascii="Times New Roman" w:hAnsi="Times New Roman"/>
          <w:sz w:val="24"/>
          <w:szCs w:val="24"/>
        </w:rPr>
        <w:lastRenderedPageBreak/>
        <w:t xml:space="preserve">[(.4)] </w:t>
      </w:r>
      <w:r>
        <w:rPr>
          <w:rFonts w:ascii="Times New Roman" w:hAnsi="Times New Roman"/>
          <w:i/>
          <w:sz w:val="24"/>
          <w:szCs w:val="24"/>
        </w:rPr>
        <w:t>(.3)</w:t>
      </w:r>
      <w:r>
        <w:rPr>
          <w:rFonts w:ascii="Times New Roman" w:hAnsi="Times New Roman"/>
          <w:sz w:val="24"/>
          <w:szCs w:val="24"/>
        </w:rPr>
        <w:t xml:space="preserve">   Affordable units shall be [constructed and available] </w:t>
      </w:r>
      <w:r>
        <w:rPr>
          <w:rFonts w:ascii="Times New Roman" w:hAnsi="Times New Roman"/>
          <w:i/>
          <w:sz w:val="24"/>
          <w:szCs w:val="24"/>
        </w:rPr>
        <w:t>constructed, completed, ready for occupancy, and marketed</w:t>
      </w:r>
      <w:r>
        <w:rPr>
          <w:rFonts w:ascii="Times New Roman" w:hAnsi="Times New Roman"/>
          <w:sz w:val="24"/>
          <w:szCs w:val="24"/>
        </w:rPr>
        <w:t xml:space="preserve"> at the same time as market-rate units and reasonably dispersed [throughout the development or as provided by a restrictive covenant benefiting the City of Philadelphia.] </w:t>
      </w:r>
      <w:r>
        <w:rPr>
          <w:rFonts w:ascii="Times New Roman" w:hAnsi="Times New Roman"/>
          <w:i/>
          <w:sz w:val="24"/>
          <w:szCs w:val="24"/>
        </w:rPr>
        <w:t xml:space="preserve">on the same site as the development such that no single building or floor therein will have a disproportionate percentage of affordable units; provided, that, the Department </w:t>
      </w:r>
      <w:r w:rsidR="00535F7F">
        <w:rPr>
          <w:rFonts w:ascii="Times New Roman" w:hAnsi="Times New Roman"/>
          <w:b/>
          <w:i/>
          <w:sz w:val="24"/>
          <w:szCs w:val="24"/>
        </w:rPr>
        <w:t xml:space="preserve">of Planning and Development </w:t>
      </w:r>
      <w:r>
        <w:rPr>
          <w:rFonts w:ascii="Times New Roman" w:hAnsi="Times New Roman"/>
          <w:i/>
          <w:sz w:val="24"/>
          <w:szCs w:val="24"/>
        </w:rPr>
        <w:t>may permit some or all of such affordable units to be provided and maintained off-site, upon a showing of exceptional circumstances and a substantial public benefit deriving from the proposed off-site development and such other requirements and penalties for non-compliance as provided for by regulations of the Department</w:t>
      </w:r>
      <w:r w:rsidR="00535F7F">
        <w:rPr>
          <w:rFonts w:ascii="Times New Roman" w:hAnsi="Times New Roman"/>
          <w:i/>
          <w:sz w:val="24"/>
          <w:szCs w:val="24"/>
        </w:rPr>
        <w:t xml:space="preserve"> </w:t>
      </w:r>
      <w:r w:rsidR="00535F7F">
        <w:rPr>
          <w:rFonts w:ascii="Times New Roman" w:hAnsi="Times New Roman"/>
          <w:b/>
          <w:i/>
          <w:sz w:val="24"/>
          <w:szCs w:val="24"/>
        </w:rPr>
        <w:t>of Planning and Development</w:t>
      </w:r>
      <w:r>
        <w:rPr>
          <w:rFonts w:ascii="Times New Roman" w:hAnsi="Times New Roman"/>
          <w:i/>
          <w:sz w:val="24"/>
          <w:szCs w:val="24"/>
        </w:rPr>
        <w:t>.</w:t>
      </w:r>
    </w:p>
    <w:p w:rsidR="00A51A62" w:rsidRDefault="00A51A62" w:rsidP="00A51A62">
      <w:pPr>
        <w:spacing w:after="0" w:line="300" w:lineRule="exact"/>
        <w:ind w:left="2160"/>
        <w:rPr>
          <w:rFonts w:ascii="Times New Roman" w:hAnsi="Times New Roman"/>
          <w:sz w:val="24"/>
          <w:szCs w:val="24"/>
        </w:rPr>
      </w:pPr>
    </w:p>
    <w:p w:rsidR="00A51A62" w:rsidRDefault="00A51A62" w:rsidP="00A51A62">
      <w:pPr>
        <w:spacing w:after="0" w:line="300" w:lineRule="exact"/>
        <w:ind w:left="2160"/>
        <w:rPr>
          <w:rFonts w:ascii="Times New Roman" w:hAnsi="Times New Roman"/>
          <w:i/>
          <w:sz w:val="24"/>
          <w:szCs w:val="24"/>
        </w:rPr>
      </w:pPr>
      <w:r>
        <w:rPr>
          <w:rFonts w:ascii="Times New Roman" w:hAnsi="Times New Roman"/>
          <w:sz w:val="24"/>
          <w:szCs w:val="24"/>
        </w:rPr>
        <w:t xml:space="preserve">[(.5)] </w:t>
      </w:r>
      <w:r>
        <w:rPr>
          <w:rFonts w:ascii="Times New Roman" w:hAnsi="Times New Roman"/>
          <w:i/>
          <w:sz w:val="24"/>
          <w:szCs w:val="24"/>
        </w:rPr>
        <w:t>(.4)</w:t>
      </w:r>
      <w:r>
        <w:rPr>
          <w:rFonts w:ascii="Times New Roman" w:hAnsi="Times New Roman"/>
          <w:sz w:val="24"/>
          <w:szCs w:val="24"/>
        </w:rPr>
        <w:t xml:space="preserve">  [Affordable units shall be comparable to market-rate units in exterior and interior building materials and finishes; overall construction quality; and energy efficiency, or as provided by the City of Philadelphia.]</w:t>
      </w:r>
      <w:r>
        <w:rPr>
          <w:rFonts w:ascii="Times New Roman" w:hAnsi="Times New Roman"/>
          <w:i/>
          <w:sz w:val="24"/>
          <w:szCs w:val="24"/>
        </w:rPr>
        <w:t xml:space="preserve"> Affordable units shall be of comparable quality, in terms of the size, design, exterior appearance, energy efficiency, and overall construction, as the market-rate units within the development, except that the Department of Planning and Development may authorize, on a case by case basis, variation in lot size, number of stories, or whether units are attached or detached, upon good cause shown.  For rental units, this requirement shall apply to any maintenance or renovations performed during the life of the affordability commitment.  Where the quality of market rate units, in terms of the size, design, exterior appearance, energy efficiency, and overall construction varies from unit to unit, the quality of affordable units shall vary substantially to the same degree.  Affordable units may have interior finishes and features that are functionally equivalent to those of any market-rate unit within the development, so long as those finishes and features are durable, of good and new quality, and consistent with any further standards which the Department of Planning and Development may establish.</w:t>
      </w:r>
    </w:p>
    <w:p w:rsidR="00A51A62" w:rsidRDefault="00A51A62" w:rsidP="00A51A62">
      <w:pPr>
        <w:spacing w:after="0" w:line="300" w:lineRule="exact"/>
        <w:ind w:left="2160"/>
        <w:rPr>
          <w:rFonts w:ascii="Times New Roman" w:hAnsi="Times New Roman"/>
          <w:i/>
          <w:sz w:val="24"/>
          <w:szCs w:val="24"/>
        </w:rPr>
      </w:pPr>
    </w:p>
    <w:p w:rsidR="00A51A62" w:rsidRDefault="00A51A62" w:rsidP="00A51A62">
      <w:pPr>
        <w:spacing w:after="0" w:line="300" w:lineRule="exact"/>
        <w:ind w:left="2160"/>
        <w:rPr>
          <w:rFonts w:ascii="Times New Roman" w:hAnsi="Times New Roman"/>
          <w:i/>
          <w:sz w:val="24"/>
          <w:szCs w:val="24"/>
        </w:rPr>
      </w:pPr>
      <w:r>
        <w:rPr>
          <w:rFonts w:ascii="Times New Roman" w:hAnsi="Times New Roman"/>
          <w:i/>
          <w:sz w:val="24"/>
          <w:szCs w:val="24"/>
        </w:rPr>
        <w:t>(.5)</w:t>
      </w:r>
      <w:r>
        <w:rPr>
          <w:rFonts w:ascii="Times New Roman" w:hAnsi="Times New Roman"/>
          <w:sz w:val="24"/>
          <w:szCs w:val="24"/>
        </w:rPr>
        <w:tab/>
      </w:r>
      <w:r>
        <w:rPr>
          <w:rFonts w:ascii="Times New Roman" w:hAnsi="Times New Roman"/>
          <w:i/>
          <w:sz w:val="24"/>
          <w:szCs w:val="24"/>
        </w:rPr>
        <w:t xml:space="preserve">For owner-occupied units, the owner and all subsequent owners during the affordability period provided for in subparagraph (.3), above, shall give the Department </w:t>
      </w:r>
      <w:r w:rsidR="00535F7F">
        <w:rPr>
          <w:rFonts w:ascii="Times New Roman" w:hAnsi="Times New Roman"/>
          <w:b/>
          <w:i/>
          <w:sz w:val="24"/>
          <w:szCs w:val="24"/>
        </w:rPr>
        <w:t xml:space="preserve">of Planning and Development </w:t>
      </w:r>
      <w:r>
        <w:rPr>
          <w:rFonts w:ascii="Times New Roman" w:hAnsi="Times New Roman"/>
          <w:i/>
          <w:sz w:val="24"/>
          <w:szCs w:val="24"/>
        </w:rPr>
        <w:t xml:space="preserve">a right of first refusal to purchase each affordable unit, with 90 days' notice of any sale; and shall give the Department </w:t>
      </w:r>
      <w:r w:rsidR="00535F7F">
        <w:rPr>
          <w:rFonts w:ascii="Times New Roman" w:hAnsi="Times New Roman"/>
          <w:b/>
          <w:i/>
          <w:sz w:val="24"/>
          <w:szCs w:val="24"/>
        </w:rPr>
        <w:t xml:space="preserve">of Planning and Development </w:t>
      </w:r>
      <w:r>
        <w:rPr>
          <w:rFonts w:ascii="Times New Roman" w:hAnsi="Times New Roman"/>
          <w:i/>
          <w:sz w:val="24"/>
          <w:szCs w:val="24"/>
        </w:rPr>
        <w:t>notice of any foreclosure of an affordable unit within seven days of receipt of a foreclosure notice.</w:t>
      </w:r>
    </w:p>
    <w:p w:rsidR="00A51A62" w:rsidRDefault="00A51A62" w:rsidP="00A51A62">
      <w:pPr>
        <w:spacing w:after="0" w:line="300" w:lineRule="exact"/>
        <w:ind w:left="2160"/>
        <w:rPr>
          <w:rFonts w:ascii="Times New Roman" w:hAnsi="Times New Roman"/>
          <w:sz w:val="24"/>
          <w:szCs w:val="24"/>
        </w:rPr>
      </w:pPr>
    </w:p>
    <w:p w:rsidR="00A51A62" w:rsidRDefault="00A51A62" w:rsidP="00A51A62">
      <w:pPr>
        <w:spacing w:after="0" w:line="300" w:lineRule="exact"/>
        <w:ind w:left="2160"/>
        <w:rPr>
          <w:rFonts w:ascii="Times New Roman" w:hAnsi="Times New Roman"/>
          <w:sz w:val="24"/>
          <w:szCs w:val="24"/>
        </w:rPr>
      </w:pPr>
      <w:r>
        <w:rPr>
          <w:rFonts w:ascii="Times New Roman" w:hAnsi="Times New Roman"/>
          <w:sz w:val="24"/>
          <w:szCs w:val="24"/>
        </w:rPr>
        <w:lastRenderedPageBreak/>
        <w:t>[(.6)   An owner or applicant of a building with a principal residential use may choose to make a payment in lieu of building affordable units. The City shall select the 10% of the units to be constructed to be considered as qualifying units and calculate the required payment amount. The owner or applicant shall provide the City with any requested documentation necessary to calculate the payment amount. The in lieu payment will be contributed to the Philadelphia Housing Trust Fund and shall, per qualifying unit, be calculated using the lesser of § 14-702(7)(b)(.6)(.a) or § 14-702(7)(b)(.6)(.b) for 10% of the development's total residential units or a minimum of five units, whichever is greater.</w:t>
      </w:r>
    </w:p>
    <w:p w:rsidR="00A51A62" w:rsidRDefault="00A51A62" w:rsidP="00A51A62">
      <w:pPr>
        <w:spacing w:after="0" w:line="300" w:lineRule="exact"/>
        <w:ind w:left="2880"/>
        <w:rPr>
          <w:rFonts w:ascii="Times New Roman" w:hAnsi="Times New Roman"/>
          <w:sz w:val="24"/>
          <w:szCs w:val="24"/>
        </w:rPr>
      </w:pPr>
      <w:r>
        <w:rPr>
          <w:rFonts w:ascii="Times New Roman" w:hAnsi="Times New Roman"/>
          <w:sz w:val="24"/>
          <w:szCs w:val="24"/>
        </w:rPr>
        <w:t>(.a)   The amount that a household at either 60% or 80% of AMI, as determined by the bonus earned, adjusted for household size, as reported by HUD for the Philadelphia [Primary] Metropolitan Statistical Area, could afford to pay for the purchase of a qualifying unit; or</w:t>
      </w:r>
    </w:p>
    <w:p w:rsidR="00A51A62" w:rsidRDefault="00A51A62" w:rsidP="00A51A62">
      <w:pPr>
        <w:spacing w:after="0" w:line="300" w:lineRule="exact"/>
        <w:ind w:left="2160" w:firstLine="720"/>
        <w:rPr>
          <w:rFonts w:ascii="Times New Roman" w:hAnsi="Times New Roman"/>
          <w:sz w:val="24"/>
          <w:szCs w:val="24"/>
        </w:rPr>
      </w:pPr>
      <w:r>
        <w:rPr>
          <w:rFonts w:ascii="Times New Roman" w:hAnsi="Times New Roman"/>
          <w:sz w:val="24"/>
          <w:szCs w:val="24"/>
        </w:rPr>
        <w:t>(.b)   The average cost of constructing a qualifying unit.]</w:t>
      </w:r>
    </w:p>
    <w:p w:rsidR="00A51A62" w:rsidRDefault="00A51A62" w:rsidP="00A51A62">
      <w:pPr>
        <w:spacing w:after="0" w:line="300" w:lineRule="exact"/>
        <w:ind w:left="2160" w:firstLine="720"/>
        <w:rPr>
          <w:rFonts w:ascii="Times New Roman" w:hAnsi="Times New Roman"/>
          <w:sz w:val="24"/>
          <w:szCs w:val="24"/>
        </w:rPr>
      </w:pPr>
    </w:p>
    <w:p w:rsidR="00535F7F" w:rsidRDefault="00A51A62" w:rsidP="00A51A62">
      <w:pPr>
        <w:spacing w:after="0" w:line="300" w:lineRule="exact"/>
        <w:ind w:left="2160"/>
        <w:rPr>
          <w:rFonts w:ascii="Times New Roman" w:hAnsi="Times New Roman"/>
          <w:b/>
          <w:i/>
          <w:sz w:val="24"/>
          <w:szCs w:val="24"/>
        </w:rPr>
      </w:pPr>
      <w:r>
        <w:rPr>
          <w:rFonts w:ascii="Times New Roman" w:hAnsi="Times New Roman"/>
          <w:i/>
          <w:sz w:val="24"/>
          <w:szCs w:val="24"/>
        </w:rPr>
        <w:t xml:space="preserve">(.6)  The applicable bonus shall be available to a property if the owner enters into a binding agreement with the Department of Planning and Development pursuant to which the owner has tendered to the City, prior to the issuance of a building permit, a payment in lieu of providing affordable housing; and </w:t>
      </w:r>
      <w:bookmarkStart w:id="4" w:name="_Hlk504735953"/>
      <w:r>
        <w:rPr>
          <w:rFonts w:ascii="Times New Roman" w:hAnsi="Times New Roman"/>
          <w:i/>
          <w:sz w:val="24"/>
          <w:szCs w:val="24"/>
        </w:rPr>
        <w:t xml:space="preserve">the Department </w:t>
      </w:r>
      <w:r w:rsidR="00535F7F">
        <w:rPr>
          <w:rFonts w:ascii="Times New Roman" w:hAnsi="Times New Roman"/>
          <w:b/>
          <w:i/>
          <w:sz w:val="24"/>
          <w:szCs w:val="24"/>
        </w:rPr>
        <w:t xml:space="preserve">of Planning and Development </w:t>
      </w:r>
      <w:r>
        <w:rPr>
          <w:rFonts w:ascii="Times New Roman" w:hAnsi="Times New Roman"/>
          <w:i/>
          <w:sz w:val="24"/>
          <w:szCs w:val="24"/>
        </w:rPr>
        <w:t>has agreed to use such money for the purposes set forth in § 21-1605 (“Trust Fund Assets Held in the Non-Recording Fee Sub-Fund”).  The payment shall be calculated</w:t>
      </w:r>
      <w:r w:rsidR="001A1323">
        <w:rPr>
          <w:rFonts w:ascii="Times New Roman" w:hAnsi="Times New Roman"/>
          <w:i/>
          <w:sz w:val="24"/>
          <w:szCs w:val="24"/>
        </w:rPr>
        <w:t xml:space="preserve"> </w:t>
      </w:r>
      <w:r w:rsidR="001A1323" w:rsidRPr="001A1323">
        <w:rPr>
          <w:rFonts w:ascii="Times New Roman" w:hAnsi="Times New Roman"/>
          <w:i/>
          <w:strike/>
          <w:sz w:val="24"/>
          <w:szCs w:val="24"/>
        </w:rPr>
        <w:t>by</w:t>
      </w:r>
      <w:r w:rsidR="00E473D2" w:rsidRPr="00E473D2">
        <w:rPr>
          <w:strike/>
        </w:rPr>
        <w:t xml:space="preserve"> </w:t>
      </w:r>
      <w:r w:rsidR="00E473D2" w:rsidRPr="00E473D2">
        <w:rPr>
          <w:rFonts w:ascii="Times New Roman" w:hAnsi="Times New Roman"/>
          <w:i/>
          <w:strike/>
          <w:sz w:val="24"/>
          <w:szCs w:val="24"/>
        </w:rPr>
        <w:t>multiplying the gross floor area, as defined in § 14-202(4) but without excluding the areas identified in § 14-202(4)(b),</w:t>
      </w:r>
      <w:r>
        <w:rPr>
          <w:rFonts w:ascii="Times New Roman" w:hAnsi="Times New Roman"/>
          <w:i/>
          <w:sz w:val="24"/>
          <w:szCs w:val="24"/>
        </w:rPr>
        <w:t xml:space="preserve"> </w:t>
      </w:r>
      <w:r w:rsidR="00535F7F">
        <w:rPr>
          <w:rFonts w:ascii="Times New Roman" w:hAnsi="Times New Roman"/>
          <w:b/>
          <w:i/>
          <w:sz w:val="24"/>
          <w:szCs w:val="24"/>
        </w:rPr>
        <w:t>as follows:</w:t>
      </w:r>
    </w:p>
    <w:p w:rsidR="00535F7F" w:rsidRDefault="00535F7F" w:rsidP="00A51A62">
      <w:pPr>
        <w:spacing w:after="0" w:line="300" w:lineRule="exact"/>
        <w:ind w:left="2160"/>
        <w:rPr>
          <w:rFonts w:ascii="Times New Roman" w:hAnsi="Times New Roman"/>
          <w:b/>
          <w:i/>
          <w:sz w:val="24"/>
          <w:szCs w:val="24"/>
        </w:rPr>
      </w:pPr>
    </w:p>
    <w:p w:rsidR="00A51A62" w:rsidRDefault="001A1323" w:rsidP="00E473D2">
      <w:pPr>
        <w:spacing w:after="0" w:line="300" w:lineRule="exact"/>
        <w:ind w:left="3600" w:hanging="720"/>
        <w:rPr>
          <w:rFonts w:ascii="Times New Roman" w:hAnsi="Times New Roman"/>
          <w:i/>
          <w:sz w:val="24"/>
          <w:szCs w:val="24"/>
        </w:rPr>
      </w:pPr>
      <w:r>
        <w:rPr>
          <w:rFonts w:ascii="Times New Roman" w:hAnsi="Times New Roman"/>
          <w:b/>
          <w:i/>
          <w:sz w:val="24"/>
          <w:szCs w:val="24"/>
        </w:rPr>
        <w:t xml:space="preserve">(.a) </w:t>
      </w:r>
      <w:r w:rsidR="00E473D2">
        <w:rPr>
          <w:rFonts w:ascii="Times New Roman" w:hAnsi="Times New Roman"/>
          <w:b/>
          <w:i/>
          <w:sz w:val="24"/>
          <w:szCs w:val="24"/>
        </w:rPr>
        <w:tab/>
      </w:r>
      <w:r w:rsidRPr="001A1323">
        <w:rPr>
          <w:rFonts w:ascii="Times New Roman" w:hAnsi="Times New Roman"/>
          <w:b/>
          <w:i/>
          <w:sz w:val="24"/>
          <w:szCs w:val="24"/>
        </w:rPr>
        <w:t>For properties located in an RM-2, RM-3, RM-4, RMX-1, RMX-2, RMX-3, IRMX, CMX-3, CMX-4, or CMX-5 zoning district</w:t>
      </w:r>
      <w:r w:rsidR="00E473D2">
        <w:rPr>
          <w:rFonts w:ascii="Times New Roman" w:hAnsi="Times New Roman"/>
          <w:b/>
          <w:i/>
          <w:sz w:val="24"/>
          <w:szCs w:val="24"/>
        </w:rPr>
        <w:t xml:space="preserve">: </w:t>
      </w:r>
      <w:r w:rsidRPr="001A1323">
        <w:rPr>
          <w:rFonts w:ascii="Times New Roman" w:hAnsi="Times New Roman"/>
          <w:b/>
          <w:i/>
          <w:sz w:val="24"/>
          <w:szCs w:val="24"/>
        </w:rPr>
        <w:t xml:space="preserve"> by</w:t>
      </w:r>
      <w:r w:rsidR="00E473D2">
        <w:rPr>
          <w:rFonts w:ascii="Times New Roman" w:hAnsi="Times New Roman"/>
          <w:b/>
          <w:i/>
          <w:sz w:val="24"/>
          <w:szCs w:val="24"/>
        </w:rPr>
        <w:t xml:space="preserve"> multiplying the maximum additional gross floor area that would be earned through this bonus,</w:t>
      </w:r>
      <w:r>
        <w:rPr>
          <w:rFonts w:ascii="Times New Roman" w:hAnsi="Times New Roman"/>
          <w:i/>
          <w:sz w:val="24"/>
          <w:szCs w:val="24"/>
        </w:rPr>
        <w:t xml:space="preserve"> </w:t>
      </w:r>
      <w:r w:rsidR="00A51A62">
        <w:rPr>
          <w:rFonts w:ascii="Times New Roman" w:hAnsi="Times New Roman"/>
          <w:i/>
          <w:sz w:val="24"/>
          <w:szCs w:val="24"/>
        </w:rPr>
        <w:t>measured in square feet, by twenty-five dollars ($25), if the owner is seeking the moderate-income bonus, and by thirty dollars ($30),</w:t>
      </w:r>
      <w:r w:rsidR="00A51A62">
        <w:rPr>
          <w:rFonts w:ascii="Times New Roman" w:hAnsi="Times New Roman"/>
          <w:b/>
          <w:i/>
          <w:sz w:val="24"/>
          <w:szCs w:val="24"/>
        </w:rPr>
        <w:t xml:space="preserve"> </w:t>
      </w:r>
      <w:r w:rsidR="00A51A62">
        <w:rPr>
          <w:rFonts w:ascii="Times New Roman" w:hAnsi="Times New Roman"/>
          <w:i/>
          <w:sz w:val="24"/>
          <w:szCs w:val="24"/>
        </w:rPr>
        <w:t xml:space="preserve">if the owner is seeking the low-income bonus.  </w:t>
      </w:r>
      <w:r w:rsidR="00A51A62" w:rsidRPr="00E473D2">
        <w:rPr>
          <w:rFonts w:ascii="Times New Roman" w:hAnsi="Times New Roman"/>
          <w:i/>
          <w:strike/>
          <w:sz w:val="24"/>
          <w:szCs w:val="24"/>
        </w:rPr>
        <w:t>Taxes imposed pursuant to Chapter 19-4300 (relating to tax on the privilege of engaging in certain construction) shall not count towards the satisfaction of this requirement.</w:t>
      </w:r>
      <w:bookmarkEnd w:id="4"/>
    </w:p>
    <w:p w:rsidR="00E473D2" w:rsidRDefault="00E473D2" w:rsidP="00E473D2">
      <w:pPr>
        <w:spacing w:after="0" w:line="300" w:lineRule="exact"/>
        <w:ind w:left="3600" w:hanging="720"/>
        <w:rPr>
          <w:rFonts w:ascii="Times New Roman" w:hAnsi="Times New Roman"/>
          <w:i/>
          <w:sz w:val="24"/>
          <w:szCs w:val="24"/>
        </w:rPr>
      </w:pPr>
    </w:p>
    <w:p w:rsidR="00E473D2" w:rsidRPr="00E473D2" w:rsidRDefault="00E473D2" w:rsidP="00E473D2">
      <w:pPr>
        <w:spacing w:after="0" w:line="300" w:lineRule="exact"/>
        <w:ind w:left="3600" w:hanging="720"/>
        <w:rPr>
          <w:rFonts w:ascii="Times New Roman" w:hAnsi="Times New Roman"/>
          <w:b/>
          <w:i/>
          <w:sz w:val="24"/>
          <w:szCs w:val="24"/>
        </w:rPr>
      </w:pPr>
      <w:r w:rsidRPr="00E473D2">
        <w:rPr>
          <w:rFonts w:ascii="Times New Roman" w:hAnsi="Times New Roman"/>
          <w:b/>
          <w:i/>
          <w:sz w:val="24"/>
          <w:szCs w:val="24"/>
        </w:rPr>
        <w:t>(.b)</w:t>
      </w:r>
      <w:r>
        <w:rPr>
          <w:rFonts w:ascii="Times New Roman" w:hAnsi="Times New Roman"/>
          <w:b/>
          <w:i/>
          <w:sz w:val="24"/>
          <w:szCs w:val="24"/>
        </w:rPr>
        <w:tab/>
      </w:r>
      <w:r w:rsidRPr="00E473D2">
        <w:rPr>
          <w:rFonts w:ascii="Times New Roman" w:hAnsi="Times New Roman"/>
          <w:b/>
          <w:i/>
          <w:sz w:val="24"/>
          <w:szCs w:val="24"/>
        </w:rPr>
        <w:t>For properties located in an RM-1, CMX-1, CMX-2, or CMX-2.5 zoning district, the greater of the following:</w:t>
      </w:r>
    </w:p>
    <w:p w:rsidR="00E473D2" w:rsidRPr="00E473D2" w:rsidRDefault="00E473D2" w:rsidP="00E473D2">
      <w:pPr>
        <w:spacing w:after="0" w:line="300" w:lineRule="exact"/>
        <w:ind w:left="3600" w:hanging="720"/>
        <w:rPr>
          <w:rFonts w:ascii="Times New Roman" w:hAnsi="Times New Roman"/>
          <w:b/>
          <w:i/>
          <w:sz w:val="24"/>
          <w:szCs w:val="24"/>
        </w:rPr>
      </w:pPr>
    </w:p>
    <w:p w:rsidR="00E473D2" w:rsidRPr="00E473D2" w:rsidRDefault="00E473D2" w:rsidP="00E473D2">
      <w:pPr>
        <w:spacing w:after="0" w:line="300" w:lineRule="exact"/>
        <w:ind w:left="4320" w:hanging="720"/>
        <w:rPr>
          <w:rFonts w:ascii="Times New Roman" w:hAnsi="Times New Roman"/>
          <w:b/>
          <w:i/>
          <w:sz w:val="24"/>
          <w:szCs w:val="24"/>
        </w:rPr>
      </w:pPr>
      <w:r w:rsidRPr="00E473D2">
        <w:rPr>
          <w:rFonts w:ascii="Times New Roman" w:hAnsi="Times New Roman"/>
          <w:b/>
          <w:i/>
          <w:sz w:val="24"/>
          <w:szCs w:val="24"/>
        </w:rPr>
        <w:t xml:space="preserve">(.i)  </w:t>
      </w:r>
      <w:r>
        <w:rPr>
          <w:rFonts w:ascii="Times New Roman" w:hAnsi="Times New Roman"/>
          <w:b/>
          <w:i/>
          <w:sz w:val="24"/>
          <w:szCs w:val="24"/>
        </w:rPr>
        <w:tab/>
      </w:r>
      <w:r w:rsidRPr="00E473D2">
        <w:rPr>
          <w:rFonts w:ascii="Times New Roman" w:hAnsi="Times New Roman"/>
          <w:b/>
          <w:i/>
          <w:sz w:val="24"/>
          <w:szCs w:val="24"/>
        </w:rPr>
        <w:t>The lot area of the property, measured in square feet, multiplied by twenty dollars ($20), if the owner is seeking the moderate-income bonus, and by twenty-four dollars ($24), if the owner is seeking the low-income bonus;</w:t>
      </w:r>
    </w:p>
    <w:p w:rsidR="00E473D2" w:rsidRPr="00E473D2" w:rsidRDefault="00E473D2" w:rsidP="00E473D2">
      <w:pPr>
        <w:spacing w:after="0" w:line="300" w:lineRule="exact"/>
        <w:ind w:left="3600" w:hanging="720"/>
        <w:rPr>
          <w:rFonts w:ascii="Times New Roman" w:hAnsi="Times New Roman"/>
          <w:b/>
          <w:i/>
          <w:sz w:val="24"/>
          <w:szCs w:val="24"/>
        </w:rPr>
      </w:pPr>
    </w:p>
    <w:p w:rsidR="00E473D2" w:rsidRPr="00E473D2" w:rsidRDefault="00E473D2" w:rsidP="00E473D2">
      <w:pPr>
        <w:spacing w:after="0" w:line="300" w:lineRule="exact"/>
        <w:ind w:left="4320" w:hanging="720"/>
        <w:rPr>
          <w:rFonts w:ascii="Times New Roman" w:hAnsi="Times New Roman"/>
          <w:b/>
          <w:i/>
          <w:sz w:val="24"/>
          <w:szCs w:val="24"/>
        </w:rPr>
      </w:pPr>
      <w:r w:rsidRPr="00E473D2">
        <w:rPr>
          <w:rFonts w:ascii="Times New Roman" w:hAnsi="Times New Roman"/>
          <w:b/>
          <w:i/>
          <w:sz w:val="24"/>
          <w:szCs w:val="24"/>
        </w:rPr>
        <w:t xml:space="preserve">(.ii) </w:t>
      </w:r>
      <w:r>
        <w:rPr>
          <w:rFonts w:ascii="Times New Roman" w:hAnsi="Times New Roman"/>
          <w:b/>
          <w:i/>
          <w:sz w:val="24"/>
          <w:szCs w:val="24"/>
        </w:rPr>
        <w:tab/>
      </w:r>
      <w:r w:rsidRPr="00E473D2">
        <w:rPr>
          <w:rFonts w:ascii="Times New Roman" w:hAnsi="Times New Roman"/>
          <w:b/>
          <w:i/>
          <w:sz w:val="24"/>
          <w:szCs w:val="24"/>
        </w:rPr>
        <w:t xml:space="preserve">The maximum additional number of residential dwelling units earned through this bonus, after applying all other bonuses earned, </w:t>
      </w:r>
      <w:r w:rsidR="007E6FF6">
        <w:rPr>
          <w:rFonts w:ascii="Times New Roman" w:hAnsi="Times New Roman"/>
          <w:b/>
          <w:i/>
          <w:sz w:val="24"/>
          <w:szCs w:val="24"/>
        </w:rPr>
        <w:t xml:space="preserve">multiplied </w:t>
      </w:r>
      <w:r w:rsidRPr="00E473D2">
        <w:rPr>
          <w:rFonts w:ascii="Times New Roman" w:hAnsi="Times New Roman"/>
          <w:b/>
          <w:i/>
          <w:sz w:val="24"/>
          <w:szCs w:val="24"/>
        </w:rPr>
        <w:t xml:space="preserve">by twenty-five thousand dollars ($25,000), if the owner is seeking the moderate-income bonus, and by thirty thousand dollars ($30,000), if the owner is seeking the low-income bonus.  </w:t>
      </w:r>
    </w:p>
    <w:p w:rsidR="00A51A62" w:rsidRDefault="00A51A62" w:rsidP="00A51A62">
      <w:pPr>
        <w:spacing w:after="0" w:line="300" w:lineRule="exact"/>
        <w:rPr>
          <w:rFonts w:ascii="Times New Roman" w:hAnsi="Times New Roman"/>
          <w:sz w:val="24"/>
          <w:szCs w:val="24"/>
        </w:rPr>
      </w:pPr>
    </w:p>
    <w:p w:rsidR="00A51A62" w:rsidRDefault="00A51A62" w:rsidP="00A51A62">
      <w:pPr>
        <w:spacing w:after="0" w:line="300" w:lineRule="exact"/>
        <w:ind w:left="720" w:firstLine="720"/>
        <w:rPr>
          <w:rFonts w:ascii="Times New Roman" w:hAnsi="Times New Roman"/>
          <w:sz w:val="24"/>
          <w:szCs w:val="24"/>
        </w:rPr>
      </w:pPr>
      <w:r>
        <w:rPr>
          <w:rFonts w:ascii="Times New Roman" w:hAnsi="Times New Roman"/>
          <w:sz w:val="24"/>
          <w:szCs w:val="24"/>
        </w:rPr>
        <w:t xml:space="preserve">(c)   Bonus Floor [Area or] </w:t>
      </w:r>
      <w:r>
        <w:rPr>
          <w:rFonts w:ascii="Times New Roman" w:hAnsi="Times New Roman"/>
          <w:i/>
          <w:sz w:val="24"/>
          <w:szCs w:val="24"/>
        </w:rPr>
        <w:t>Area,</w:t>
      </w:r>
      <w:r>
        <w:rPr>
          <w:rFonts w:ascii="Times New Roman" w:hAnsi="Times New Roman"/>
          <w:sz w:val="24"/>
          <w:szCs w:val="24"/>
        </w:rPr>
        <w:t xml:space="preserve"> Building [Height.] </w:t>
      </w:r>
      <w:r>
        <w:rPr>
          <w:rFonts w:ascii="Times New Roman" w:hAnsi="Times New Roman"/>
          <w:i/>
          <w:sz w:val="24"/>
          <w:szCs w:val="24"/>
        </w:rPr>
        <w:t>Height, and Housing Unit Density.</w:t>
      </w:r>
    </w:p>
    <w:p w:rsidR="00A51A62" w:rsidRDefault="00A51A62" w:rsidP="00A51A62">
      <w:pPr>
        <w:spacing w:after="0" w:line="300" w:lineRule="exact"/>
        <w:ind w:left="720" w:firstLine="720"/>
        <w:rPr>
          <w:rFonts w:ascii="Times New Roman" w:hAnsi="Times New Roman"/>
          <w:sz w:val="24"/>
          <w:szCs w:val="24"/>
        </w:rPr>
      </w:pPr>
    </w:p>
    <w:p w:rsidR="00A51A62" w:rsidRPr="001E2AF3" w:rsidRDefault="00A51A62" w:rsidP="00A51A62">
      <w:pPr>
        <w:spacing w:after="0" w:line="300" w:lineRule="exact"/>
        <w:ind w:left="2160" w:hanging="720"/>
        <w:rPr>
          <w:rFonts w:ascii="Times New Roman" w:hAnsi="Times New Roman"/>
          <w:b/>
          <w:i/>
          <w:sz w:val="24"/>
          <w:szCs w:val="24"/>
        </w:rPr>
      </w:pPr>
      <w:r>
        <w:rPr>
          <w:rFonts w:ascii="Times New Roman" w:hAnsi="Times New Roman"/>
          <w:sz w:val="24"/>
          <w:szCs w:val="24"/>
        </w:rPr>
        <w:tab/>
      </w:r>
      <w:r>
        <w:rPr>
          <w:rFonts w:ascii="Times New Roman" w:hAnsi="Times New Roman"/>
          <w:i/>
          <w:sz w:val="24"/>
          <w:szCs w:val="24"/>
        </w:rPr>
        <w:t>(.1)</w:t>
      </w:r>
      <w:r>
        <w:rPr>
          <w:rFonts w:ascii="Times New Roman" w:hAnsi="Times New Roman"/>
          <w:sz w:val="24"/>
          <w:szCs w:val="24"/>
        </w:rPr>
        <w:t xml:space="preserve"> The additional gross floor area or building height earned for [providing mixed-income housing] </w:t>
      </w:r>
      <w:r>
        <w:rPr>
          <w:rFonts w:ascii="Times New Roman" w:hAnsi="Times New Roman"/>
          <w:i/>
          <w:sz w:val="24"/>
          <w:szCs w:val="24"/>
        </w:rPr>
        <w:t xml:space="preserve">compliance with subsection (a), above, </w:t>
      </w:r>
      <w:r>
        <w:rPr>
          <w:rFonts w:ascii="Times New Roman" w:hAnsi="Times New Roman"/>
          <w:sz w:val="24"/>
          <w:szCs w:val="24"/>
        </w:rPr>
        <w:t xml:space="preserve">[is:] </w:t>
      </w:r>
      <w:r>
        <w:rPr>
          <w:rFonts w:ascii="Times New Roman" w:hAnsi="Times New Roman"/>
          <w:i/>
          <w:sz w:val="24"/>
          <w:szCs w:val="24"/>
        </w:rPr>
        <w:t>is</w:t>
      </w:r>
      <w:r>
        <w:rPr>
          <w:rFonts w:ascii="Times New Roman" w:hAnsi="Times New Roman"/>
          <w:sz w:val="24"/>
          <w:szCs w:val="24"/>
        </w:rPr>
        <w:t xml:space="preserve"> </w:t>
      </w:r>
      <w:r>
        <w:rPr>
          <w:rFonts w:ascii="Times New Roman" w:hAnsi="Times New Roman"/>
          <w:i/>
          <w:sz w:val="24"/>
          <w:szCs w:val="24"/>
        </w:rPr>
        <w:t>as set forth in the tables, below.  A property may take advantage of a height bonus, a gross floor area bonus, and a housing unit density bonus,</w:t>
      </w:r>
      <w:r w:rsidR="00BD0D06">
        <w:rPr>
          <w:rFonts w:ascii="Times New Roman" w:hAnsi="Times New Roman"/>
          <w:i/>
          <w:sz w:val="24"/>
          <w:szCs w:val="24"/>
        </w:rPr>
        <w:t xml:space="preserve"> </w:t>
      </w:r>
      <w:r w:rsidR="00BD0D06">
        <w:rPr>
          <w:rFonts w:ascii="Times New Roman" w:hAnsi="Times New Roman"/>
          <w:b/>
          <w:i/>
          <w:sz w:val="24"/>
          <w:szCs w:val="24"/>
        </w:rPr>
        <w:t>either alone or in combination,</w:t>
      </w:r>
      <w:r>
        <w:rPr>
          <w:rFonts w:ascii="Times New Roman" w:hAnsi="Times New Roman"/>
          <w:b/>
          <w:i/>
          <w:sz w:val="24"/>
          <w:szCs w:val="24"/>
        </w:rPr>
        <w:t xml:space="preserve"> </w:t>
      </w:r>
      <w:r>
        <w:rPr>
          <w:rFonts w:ascii="Times New Roman" w:hAnsi="Times New Roman"/>
          <w:i/>
          <w:sz w:val="24"/>
          <w:szCs w:val="24"/>
        </w:rPr>
        <w:t>if so provided by the tables in</w:t>
      </w:r>
      <w:r>
        <w:rPr>
          <w:rFonts w:ascii="Times New Roman" w:hAnsi="Times New Roman"/>
          <w:i/>
          <w:color w:val="000000"/>
          <w:sz w:val="24"/>
          <w:szCs w:val="24"/>
        </w:rPr>
        <w:t xml:space="preserve"> subparagraph (.3), below</w:t>
      </w:r>
      <w:r>
        <w:rPr>
          <w:rFonts w:ascii="Times New Roman" w:hAnsi="Times New Roman"/>
          <w:i/>
          <w:sz w:val="24"/>
          <w:szCs w:val="24"/>
        </w:rPr>
        <w:t>.</w:t>
      </w:r>
      <w:r w:rsidR="00D93F90">
        <w:rPr>
          <w:rFonts w:ascii="Times New Roman" w:hAnsi="Times New Roman"/>
          <w:i/>
          <w:sz w:val="24"/>
          <w:szCs w:val="24"/>
        </w:rPr>
        <w:t xml:space="preserve">  </w:t>
      </w:r>
      <w:r w:rsidR="001E2AF3" w:rsidRPr="001E2AF3">
        <w:rPr>
          <w:rFonts w:ascii="Times New Roman" w:hAnsi="Times New Roman"/>
          <w:b/>
          <w:i/>
          <w:sz w:val="24"/>
          <w:szCs w:val="24"/>
        </w:rPr>
        <w:t>A property may not take advantage of any one of these bonuses multiple times and may not earn bonuses under both the low-income and moderate-income standards.</w:t>
      </w:r>
    </w:p>
    <w:p w:rsidR="00A51A62" w:rsidRDefault="00A51A62" w:rsidP="00A51A62">
      <w:pPr>
        <w:spacing w:after="0" w:line="300" w:lineRule="exact"/>
        <w:rPr>
          <w:rFonts w:ascii="Times New Roman" w:hAnsi="Times New Roman"/>
          <w:sz w:val="24"/>
          <w:szCs w:val="24"/>
        </w:rPr>
      </w:pPr>
    </w:p>
    <w:p w:rsidR="00A51A62" w:rsidRDefault="00A51A62" w:rsidP="00A51A62">
      <w:pPr>
        <w:spacing w:after="0" w:line="300" w:lineRule="exact"/>
        <w:ind w:left="2160"/>
        <w:rPr>
          <w:rFonts w:ascii="Times New Roman" w:hAnsi="Times New Roman"/>
          <w:i/>
          <w:sz w:val="24"/>
          <w:szCs w:val="24"/>
        </w:rPr>
      </w:pPr>
    </w:p>
    <w:p w:rsidR="00A51A62" w:rsidRDefault="00A51A62" w:rsidP="00A51A62">
      <w:pPr>
        <w:spacing w:after="0" w:line="300" w:lineRule="exact"/>
        <w:ind w:left="2160"/>
        <w:rPr>
          <w:rFonts w:ascii="Times New Roman" w:hAnsi="Times New Roman"/>
          <w:i/>
          <w:color w:val="000000"/>
          <w:sz w:val="24"/>
          <w:szCs w:val="24"/>
        </w:rPr>
      </w:pPr>
      <w:r>
        <w:rPr>
          <w:rFonts w:ascii="Times New Roman" w:hAnsi="Times New Roman"/>
          <w:i/>
          <w:sz w:val="24"/>
          <w:szCs w:val="24"/>
        </w:rPr>
        <w:t xml:space="preserve">(.2) </w:t>
      </w:r>
      <w:r>
        <w:rPr>
          <w:rFonts w:ascii="Times New Roman" w:hAnsi="Times New Roman"/>
          <w:i/>
          <w:color w:val="000000"/>
          <w:sz w:val="24"/>
          <w:szCs w:val="24"/>
        </w:rPr>
        <w:t>Housing Unit Density Bonuses in this § 14-702 shall be calculated and applied after any other bonuses are applied and rounded as indicated in the applicable sections. Whenever the calculation of permitted number of dwelling units, following the application of a bonus described in this § 14-702, results in a fraction of a dwelling unit, then the number of permitted dwelling units shall be rounded down to the nearest whole number.</w:t>
      </w:r>
    </w:p>
    <w:p w:rsidR="00A51A62" w:rsidRDefault="00A51A62" w:rsidP="00A51A62">
      <w:pPr>
        <w:spacing w:after="0" w:line="300" w:lineRule="exact"/>
        <w:ind w:left="2160"/>
        <w:rPr>
          <w:rFonts w:ascii="Times New Roman" w:hAnsi="Times New Roman"/>
          <w:i/>
          <w:color w:val="000000"/>
          <w:sz w:val="24"/>
          <w:szCs w:val="24"/>
        </w:rPr>
      </w:pPr>
    </w:p>
    <w:p w:rsidR="00A51A62" w:rsidRDefault="00A51A62" w:rsidP="00A51A62">
      <w:pPr>
        <w:spacing w:after="0" w:line="300" w:lineRule="exact"/>
        <w:ind w:left="2160"/>
        <w:rPr>
          <w:rFonts w:ascii="Times New Roman" w:hAnsi="Times New Roman"/>
          <w:i/>
          <w:color w:val="000000"/>
          <w:sz w:val="24"/>
          <w:szCs w:val="24"/>
        </w:rPr>
      </w:pPr>
      <w:r>
        <w:rPr>
          <w:rFonts w:ascii="Times New Roman" w:hAnsi="Times New Roman"/>
          <w:i/>
          <w:color w:val="000000"/>
          <w:sz w:val="24"/>
          <w:szCs w:val="24"/>
        </w:rPr>
        <w:t>(.3) Mixed Income Housing Bonus Tables.</w:t>
      </w:r>
    </w:p>
    <w:p w:rsidR="00A51A62" w:rsidRDefault="00A51A62" w:rsidP="00A51A62">
      <w:pPr>
        <w:spacing w:after="0" w:line="300" w:lineRule="exact"/>
        <w:rPr>
          <w:rFonts w:ascii="Times New Roman" w:hAnsi="Times New Roman"/>
          <w:color w:val="000000"/>
          <w:sz w:val="24"/>
          <w:szCs w:val="24"/>
        </w:rPr>
      </w:pPr>
    </w:p>
    <w:tbl>
      <w:tblPr>
        <w:tblW w:w="11340" w:type="dxa"/>
        <w:tblInd w:w="-1000" w:type="dxa"/>
        <w:tblLook w:val="04A0" w:firstRow="1" w:lastRow="0" w:firstColumn="1" w:lastColumn="0" w:noHBand="0" w:noVBand="1"/>
      </w:tblPr>
      <w:tblGrid>
        <w:gridCol w:w="898"/>
        <w:gridCol w:w="927"/>
        <w:gridCol w:w="706"/>
        <w:gridCol w:w="738"/>
        <w:gridCol w:w="999"/>
        <w:gridCol w:w="744"/>
        <w:gridCol w:w="744"/>
        <w:gridCol w:w="762"/>
        <w:gridCol w:w="896"/>
        <w:gridCol w:w="875"/>
        <w:gridCol w:w="745"/>
        <w:gridCol w:w="745"/>
        <w:gridCol w:w="791"/>
        <w:gridCol w:w="770"/>
      </w:tblGrid>
      <w:tr w:rsidR="00A51A62" w:rsidTr="003C3157">
        <w:trPr>
          <w:trHeight w:val="288"/>
        </w:trPr>
        <w:tc>
          <w:tcPr>
            <w:tcW w:w="1841" w:type="dxa"/>
            <w:gridSpan w:val="2"/>
            <w:vMerge w:val="restart"/>
            <w:tcBorders>
              <w:top w:val="single" w:sz="8" w:space="0" w:color="000000"/>
              <w:left w:val="single" w:sz="8" w:space="0" w:color="000000"/>
              <w:bottom w:val="single" w:sz="8" w:space="0" w:color="000000"/>
              <w:right w:val="single" w:sz="8" w:space="0" w:color="000000"/>
            </w:tcBorders>
            <w:shd w:val="clear" w:color="auto" w:fill="CCCCCC"/>
            <w:vAlign w:val="center"/>
            <w:hideMark/>
          </w:tcPr>
          <w:p w:rsidR="00A51A62" w:rsidRDefault="00A51A62" w:rsidP="003C3157">
            <w:pPr>
              <w:spacing w:after="0" w:line="240" w:lineRule="auto"/>
            </w:pPr>
          </w:p>
        </w:tc>
        <w:tc>
          <w:tcPr>
            <w:tcW w:w="9499" w:type="dxa"/>
            <w:gridSpan w:val="12"/>
            <w:tcBorders>
              <w:top w:val="single" w:sz="8" w:space="0" w:color="000000"/>
              <w:left w:val="nil"/>
              <w:bottom w:val="nil"/>
              <w:right w:val="single" w:sz="8" w:space="0" w:color="000000"/>
            </w:tcBorders>
            <w:shd w:val="clear" w:color="auto" w:fill="CCCCCC"/>
            <w:vAlign w:val="center"/>
            <w:hideMark/>
          </w:tcPr>
          <w:p w:rsidR="00A51A62" w:rsidRDefault="00A51A62" w:rsidP="003C3157">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Additional Gross Floor Area, as Percent of Lot Area                           {Additional Building Height}</w:t>
            </w:r>
          </w:p>
        </w:tc>
      </w:tr>
      <w:tr w:rsidR="00A51A62" w:rsidTr="003C3157">
        <w:trPr>
          <w:trHeight w:val="115"/>
        </w:trPr>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A51A62" w:rsidRDefault="00A51A62" w:rsidP="003C3157">
            <w:pPr>
              <w:spacing w:after="0" w:line="240" w:lineRule="auto"/>
            </w:pPr>
          </w:p>
        </w:tc>
        <w:tc>
          <w:tcPr>
            <w:tcW w:w="9499" w:type="dxa"/>
            <w:gridSpan w:val="12"/>
            <w:tcBorders>
              <w:top w:val="nil"/>
              <w:left w:val="nil"/>
              <w:bottom w:val="nil"/>
              <w:right w:val="single" w:sz="8" w:space="0" w:color="000000"/>
            </w:tcBorders>
            <w:shd w:val="clear" w:color="auto" w:fill="CCCCCC"/>
            <w:vAlign w:val="center"/>
            <w:hideMark/>
          </w:tcPr>
          <w:p w:rsidR="00A51A62" w:rsidRDefault="00A51A62" w:rsidP="003C3157">
            <w:pPr>
              <w:spacing w:after="0" w:line="240" w:lineRule="auto"/>
            </w:pPr>
          </w:p>
        </w:tc>
      </w:tr>
      <w:tr w:rsidR="00A51A62" w:rsidTr="003C3157">
        <w:trPr>
          <w:trHeight w:val="288"/>
        </w:trPr>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A51A62" w:rsidRDefault="00A51A62" w:rsidP="003C3157">
            <w:pPr>
              <w:spacing w:after="0" w:line="240" w:lineRule="auto"/>
            </w:pPr>
          </w:p>
        </w:tc>
        <w:tc>
          <w:tcPr>
            <w:tcW w:w="725" w:type="dxa"/>
            <w:vMerge w:val="restart"/>
            <w:tcBorders>
              <w:top w:val="single" w:sz="8" w:space="0" w:color="000000"/>
              <w:left w:val="single" w:sz="8" w:space="0" w:color="000000"/>
              <w:bottom w:val="single" w:sz="8" w:space="0" w:color="000000"/>
              <w:right w:val="single" w:sz="8" w:space="0" w:color="000000"/>
            </w:tcBorders>
            <w:shd w:val="clear" w:color="auto" w:fill="CCCCCC"/>
            <w:vAlign w:val="center"/>
            <w:hideMark/>
          </w:tcPr>
          <w:p w:rsidR="00A51A62" w:rsidRDefault="00A51A62" w:rsidP="003C3157">
            <w:pPr>
              <w:spacing w:after="0" w:line="240" w:lineRule="auto"/>
              <w:jc w:val="center"/>
              <w:rPr>
                <w:rFonts w:ascii="Times New Roman" w:hAnsi="Times New Roman"/>
                <w:bCs/>
                <w:i/>
                <w:iCs/>
                <w:color w:val="000000"/>
                <w:sz w:val="18"/>
                <w:szCs w:val="18"/>
              </w:rPr>
            </w:pPr>
            <w:r>
              <w:rPr>
                <w:rFonts w:ascii="Times New Roman" w:hAnsi="Times New Roman"/>
                <w:bCs/>
                <w:i/>
                <w:iCs/>
                <w:color w:val="000000"/>
                <w:sz w:val="18"/>
                <w:szCs w:val="18"/>
              </w:rPr>
              <w:t>RM-2</w:t>
            </w:r>
          </w:p>
        </w:tc>
        <w:tc>
          <w:tcPr>
            <w:tcW w:w="752" w:type="dxa"/>
            <w:vMerge w:val="restart"/>
            <w:tcBorders>
              <w:top w:val="single" w:sz="8" w:space="0" w:color="000000"/>
              <w:left w:val="single" w:sz="8" w:space="0" w:color="000000"/>
              <w:bottom w:val="single" w:sz="8" w:space="0" w:color="000000"/>
              <w:right w:val="single" w:sz="8" w:space="0" w:color="000000"/>
            </w:tcBorders>
            <w:shd w:val="clear" w:color="auto" w:fill="CCCCCC"/>
            <w:vAlign w:val="center"/>
            <w:hideMark/>
          </w:tcPr>
          <w:p w:rsidR="00A51A62" w:rsidRDefault="00A51A62" w:rsidP="003C3157">
            <w:pPr>
              <w:spacing w:after="0" w:line="240" w:lineRule="auto"/>
              <w:jc w:val="center"/>
              <w:rPr>
                <w:rFonts w:ascii="Times New Roman" w:hAnsi="Times New Roman"/>
                <w:bCs/>
                <w:i/>
                <w:iCs/>
                <w:color w:val="000000"/>
                <w:sz w:val="18"/>
                <w:szCs w:val="18"/>
              </w:rPr>
            </w:pPr>
            <w:r>
              <w:rPr>
                <w:rFonts w:ascii="Times New Roman" w:hAnsi="Times New Roman"/>
                <w:bCs/>
                <w:i/>
                <w:iCs/>
                <w:color w:val="000000"/>
                <w:sz w:val="18"/>
                <w:szCs w:val="18"/>
              </w:rPr>
              <w:t>RM-3,     RMX-1</w:t>
            </w:r>
          </w:p>
        </w:tc>
        <w:tc>
          <w:tcPr>
            <w:tcW w:w="1048" w:type="dxa"/>
            <w:vMerge w:val="restart"/>
            <w:tcBorders>
              <w:top w:val="single" w:sz="8" w:space="0" w:color="000000"/>
              <w:left w:val="single" w:sz="8" w:space="0" w:color="000000"/>
              <w:bottom w:val="single" w:sz="8" w:space="0" w:color="000000"/>
              <w:right w:val="single" w:sz="8" w:space="0" w:color="000000"/>
            </w:tcBorders>
            <w:shd w:val="clear" w:color="auto" w:fill="CCCCCC"/>
            <w:vAlign w:val="center"/>
            <w:hideMark/>
          </w:tcPr>
          <w:p w:rsidR="00A51A62" w:rsidRDefault="00A51A62" w:rsidP="003C3157">
            <w:pPr>
              <w:spacing w:after="0" w:line="240" w:lineRule="auto"/>
              <w:jc w:val="center"/>
              <w:rPr>
                <w:rFonts w:ascii="Times New Roman" w:hAnsi="Times New Roman"/>
                <w:i/>
                <w:iCs/>
                <w:color w:val="000000"/>
                <w:sz w:val="18"/>
                <w:szCs w:val="18"/>
              </w:rPr>
            </w:pPr>
            <w:r>
              <w:rPr>
                <w:rFonts w:ascii="Times New Roman" w:hAnsi="Times New Roman"/>
                <w:i/>
                <w:iCs/>
                <w:color w:val="000000"/>
                <w:sz w:val="18"/>
                <w:szCs w:val="18"/>
              </w:rPr>
              <w:t>RM-4</w:t>
            </w:r>
          </w:p>
        </w:tc>
        <w:tc>
          <w:tcPr>
            <w:tcW w:w="753" w:type="dxa"/>
            <w:vMerge w:val="restart"/>
            <w:tcBorders>
              <w:top w:val="single" w:sz="8" w:space="0" w:color="000000"/>
              <w:left w:val="single" w:sz="8" w:space="0" w:color="000000"/>
              <w:bottom w:val="single" w:sz="8" w:space="0" w:color="000000"/>
              <w:right w:val="single" w:sz="8" w:space="0" w:color="000000"/>
            </w:tcBorders>
            <w:shd w:val="clear" w:color="auto" w:fill="CCCCCC"/>
            <w:vAlign w:val="center"/>
            <w:hideMark/>
          </w:tcPr>
          <w:p w:rsidR="00A51A62" w:rsidRDefault="00A51A62" w:rsidP="003C3157">
            <w:pPr>
              <w:spacing w:after="0" w:line="240" w:lineRule="auto"/>
              <w:jc w:val="center"/>
              <w:rPr>
                <w:rFonts w:ascii="Times New Roman" w:hAnsi="Times New Roman"/>
                <w:i/>
                <w:iCs/>
                <w:color w:val="000000"/>
                <w:sz w:val="18"/>
                <w:szCs w:val="18"/>
              </w:rPr>
            </w:pPr>
            <w:r>
              <w:rPr>
                <w:rFonts w:ascii="Times New Roman" w:hAnsi="Times New Roman"/>
                <w:i/>
                <w:iCs/>
                <w:color w:val="000000"/>
                <w:sz w:val="18"/>
                <w:szCs w:val="18"/>
              </w:rPr>
              <w:t>RMX-2</w:t>
            </w:r>
          </w:p>
        </w:tc>
        <w:tc>
          <w:tcPr>
            <w:tcW w:w="753" w:type="dxa"/>
            <w:vMerge w:val="restart"/>
            <w:tcBorders>
              <w:top w:val="single" w:sz="8" w:space="0" w:color="000000"/>
              <w:left w:val="single" w:sz="8" w:space="0" w:color="000000"/>
              <w:bottom w:val="single" w:sz="8" w:space="0" w:color="000000"/>
              <w:right w:val="single" w:sz="8" w:space="0" w:color="000000"/>
            </w:tcBorders>
            <w:shd w:val="clear" w:color="auto" w:fill="CCCCCC"/>
            <w:vAlign w:val="center"/>
            <w:hideMark/>
          </w:tcPr>
          <w:p w:rsidR="00A51A62" w:rsidRDefault="00A51A62" w:rsidP="003C3157">
            <w:pPr>
              <w:spacing w:after="0" w:line="240" w:lineRule="auto"/>
              <w:jc w:val="center"/>
              <w:rPr>
                <w:rFonts w:ascii="Times New Roman" w:hAnsi="Times New Roman"/>
                <w:i/>
                <w:iCs/>
                <w:color w:val="000000"/>
                <w:sz w:val="18"/>
                <w:szCs w:val="18"/>
              </w:rPr>
            </w:pPr>
            <w:r>
              <w:rPr>
                <w:rFonts w:ascii="Times New Roman" w:hAnsi="Times New Roman"/>
                <w:i/>
                <w:iCs/>
                <w:color w:val="000000"/>
                <w:sz w:val="18"/>
                <w:szCs w:val="18"/>
              </w:rPr>
              <w:t>IRMX</w:t>
            </w:r>
          </w:p>
        </w:tc>
        <w:tc>
          <w:tcPr>
            <w:tcW w:w="763" w:type="dxa"/>
            <w:vMerge w:val="restart"/>
            <w:tcBorders>
              <w:top w:val="single" w:sz="8" w:space="0" w:color="000000"/>
              <w:left w:val="single" w:sz="8" w:space="0" w:color="000000"/>
              <w:bottom w:val="single" w:sz="8" w:space="0" w:color="000000"/>
              <w:right w:val="single" w:sz="8" w:space="0" w:color="000000"/>
            </w:tcBorders>
            <w:shd w:val="clear" w:color="auto" w:fill="CCCCCC"/>
            <w:vAlign w:val="center"/>
            <w:hideMark/>
          </w:tcPr>
          <w:p w:rsidR="00A51A62" w:rsidRDefault="00A51A62" w:rsidP="003C3157">
            <w:pPr>
              <w:spacing w:after="0" w:line="240" w:lineRule="auto"/>
              <w:jc w:val="center"/>
              <w:rPr>
                <w:rFonts w:ascii="Times New Roman" w:hAnsi="Times New Roman"/>
                <w:color w:val="000000"/>
                <w:sz w:val="18"/>
                <w:szCs w:val="18"/>
              </w:rPr>
            </w:pPr>
            <w:r>
              <w:rPr>
                <w:rFonts w:ascii="Times New Roman" w:hAnsi="Times New Roman"/>
                <w:bCs/>
                <w:color w:val="000000"/>
                <w:sz w:val="18"/>
                <w:szCs w:val="18"/>
              </w:rPr>
              <w:t>RMX-3</w:t>
            </w:r>
          </w:p>
        </w:tc>
        <w:tc>
          <w:tcPr>
            <w:tcW w:w="896" w:type="dxa"/>
            <w:vMerge w:val="restart"/>
            <w:tcBorders>
              <w:top w:val="single" w:sz="8" w:space="0" w:color="000000"/>
              <w:left w:val="single" w:sz="8" w:space="0" w:color="000000"/>
              <w:bottom w:val="single" w:sz="8" w:space="0" w:color="000000"/>
              <w:right w:val="single" w:sz="8" w:space="0" w:color="000000"/>
            </w:tcBorders>
            <w:shd w:val="clear" w:color="auto" w:fill="CCCCCC"/>
            <w:vAlign w:val="center"/>
            <w:hideMark/>
          </w:tcPr>
          <w:p w:rsidR="00A51A62" w:rsidRDefault="00A51A62" w:rsidP="003C3157">
            <w:pPr>
              <w:spacing w:after="0" w:line="240" w:lineRule="auto"/>
              <w:jc w:val="center"/>
              <w:rPr>
                <w:rFonts w:ascii="Times New Roman" w:hAnsi="Times New Roman"/>
                <w:color w:val="000000"/>
                <w:sz w:val="18"/>
                <w:szCs w:val="18"/>
              </w:rPr>
            </w:pPr>
            <w:r>
              <w:rPr>
                <w:rFonts w:ascii="Times New Roman" w:hAnsi="Times New Roman"/>
                <w:bCs/>
                <w:color w:val="000000"/>
                <w:sz w:val="18"/>
                <w:szCs w:val="18"/>
              </w:rPr>
              <w:t>CMX-3 as provided in § 14-702(2)(c) (except in /TOD)</w:t>
            </w:r>
          </w:p>
        </w:tc>
        <w:tc>
          <w:tcPr>
            <w:tcW w:w="767" w:type="dxa"/>
            <w:tcBorders>
              <w:top w:val="single" w:sz="8" w:space="0" w:color="000000"/>
              <w:left w:val="nil"/>
              <w:bottom w:val="nil"/>
              <w:right w:val="single" w:sz="8" w:space="0" w:color="000000"/>
            </w:tcBorders>
            <w:shd w:val="clear" w:color="auto" w:fill="CCCCCC"/>
            <w:vAlign w:val="center"/>
            <w:hideMark/>
          </w:tcPr>
          <w:p w:rsidR="00A51A62" w:rsidRDefault="00A51A62" w:rsidP="003C3157">
            <w:pPr>
              <w:spacing w:after="0" w:line="240" w:lineRule="auto"/>
              <w:jc w:val="center"/>
              <w:rPr>
                <w:rFonts w:ascii="Times New Roman" w:hAnsi="Times New Roman"/>
                <w:color w:val="000000"/>
                <w:sz w:val="18"/>
                <w:szCs w:val="18"/>
              </w:rPr>
            </w:pPr>
            <w:r>
              <w:rPr>
                <w:rFonts w:ascii="Times New Roman" w:hAnsi="Times New Roman"/>
                <w:bCs/>
                <w:color w:val="000000"/>
                <w:sz w:val="18"/>
                <w:szCs w:val="18"/>
              </w:rPr>
              <w:t>CMX-3</w:t>
            </w:r>
          </w:p>
        </w:tc>
        <w:tc>
          <w:tcPr>
            <w:tcW w:w="754" w:type="dxa"/>
            <w:vMerge w:val="restart"/>
            <w:tcBorders>
              <w:top w:val="single" w:sz="8" w:space="0" w:color="000000"/>
              <w:left w:val="single" w:sz="8" w:space="0" w:color="000000"/>
              <w:bottom w:val="single" w:sz="8" w:space="0" w:color="000000"/>
              <w:right w:val="single" w:sz="8" w:space="0" w:color="000000"/>
            </w:tcBorders>
            <w:shd w:val="clear" w:color="auto" w:fill="CCCCCC"/>
            <w:vAlign w:val="center"/>
            <w:hideMark/>
          </w:tcPr>
          <w:p w:rsidR="00A51A62" w:rsidRDefault="00A51A62" w:rsidP="003C3157">
            <w:pPr>
              <w:spacing w:after="0" w:line="240" w:lineRule="auto"/>
              <w:jc w:val="center"/>
              <w:rPr>
                <w:rFonts w:ascii="Times New Roman" w:hAnsi="Times New Roman"/>
                <w:color w:val="000000"/>
                <w:sz w:val="18"/>
                <w:szCs w:val="18"/>
              </w:rPr>
            </w:pPr>
            <w:r>
              <w:rPr>
                <w:rFonts w:ascii="Times New Roman" w:hAnsi="Times New Roman"/>
                <w:bCs/>
                <w:color w:val="000000"/>
                <w:sz w:val="18"/>
                <w:szCs w:val="18"/>
              </w:rPr>
              <w:t>CMX-4</w:t>
            </w:r>
          </w:p>
        </w:tc>
        <w:tc>
          <w:tcPr>
            <w:tcW w:w="754" w:type="dxa"/>
            <w:vMerge w:val="restart"/>
            <w:tcBorders>
              <w:top w:val="single" w:sz="8" w:space="0" w:color="000000"/>
              <w:left w:val="single" w:sz="8" w:space="0" w:color="000000"/>
              <w:bottom w:val="single" w:sz="8" w:space="0" w:color="000000"/>
              <w:right w:val="single" w:sz="8" w:space="0" w:color="000000"/>
            </w:tcBorders>
            <w:shd w:val="clear" w:color="auto" w:fill="CCCCCC"/>
            <w:vAlign w:val="center"/>
            <w:hideMark/>
          </w:tcPr>
          <w:p w:rsidR="00A51A62" w:rsidRDefault="00A51A62" w:rsidP="003C3157">
            <w:pPr>
              <w:spacing w:after="0" w:line="240" w:lineRule="auto"/>
              <w:jc w:val="center"/>
              <w:rPr>
                <w:rFonts w:ascii="Times New Roman" w:hAnsi="Times New Roman"/>
                <w:color w:val="000000"/>
                <w:sz w:val="18"/>
                <w:szCs w:val="18"/>
              </w:rPr>
            </w:pPr>
            <w:r>
              <w:rPr>
                <w:rFonts w:ascii="Times New Roman" w:hAnsi="Times New Roman"/>
                <w:bCs/>
                <w:color w:val="000000"/>
                <w:sz w:val="18"/>
                <w:szCs w:val="18"/>
              </w:rPr>
              <w:t>CMX-5</w:t>
            </w:r>
          </w:p>
        </w:tc>
        <w:tc>
          <w:tcPr>
            <w:tcW w:w="772" w:type="dxa"/>
            <w:vMerge w:val="restart"/>
            <w:tcBorders>
              <w:top w:val="single" w:sz="8" w:space="0" w:color="000000"/>
              <w:left w:val="single" w:sz="8" w:space="0" w:color="000000"/>
              <w:bottom w:val="single" w:sz="8" w:space="0" w:color="000000"/>
              <w:right w:val="single" w:sz="8" w:space="0" w:color="000000"/>
            </w:tcBorders>
            <w:shd w:val="clear" w:color="auto" w:fill="CCCCCC"/>
            <w:vAlign w:val="center"/>
            <w:hideMark/>
          </w:tcPr>
          <w:p w:rsidR="00A51A62" w:rsidRDefault="00A51A62" w:rsidP="003C3157">
            <w:pPr>
              <w:spacing w:after="0" w:line="240" w:lineRule="auto"/>
              <w:jc w:val="center"/>
              <w:rPr>
                <w:rFonts w:ascii="Times New Roman" w:hAnsi="Times New Roman"/>
                <w:bCs/>
                <w:i/>
                <w:color w:val="000000"/>
                <w:sz w:val="18"/>
                <w:szCs w:val="18"/>
              </w:rPr>
            </w:pPr>
            <w:r>
              <w:rPr>
                <w:rFonts w:ascii="Times New Roman" w:hAnsi="Times New Roman"/>
                <w:bCs/>
                <w:i/>
                <w:color w:val="000000"/>
                <w:sz w:val="18"/>
                <w:szCs w:val="18"/>
              </w:rPr>
              <w:t>{/CDO}</w:t>
            </w:r>
          </w:p>
        </w:tc>
        <w:tc>
          <w:tcPr>
            <w:tcW w:w="762" w:type="dxa"/>
            <w:vMerge w:val="restart"/>
            <w:tcBorders>
              <w:top w:val="single" w:sz="8" w:space="0" w:color="000000"/>
              <w:left w:val="single" w:sz="8" w:space="0" w:color="000000"/>
              <w:bottom w:val="single" w:sz="8" w:space="0" w:color="000000"/>
              <w:right w:val="single" w:sz="8" w:space="0" w:color="000000"/>
            </w:tcBorders>
            <w:shd w:val="clear" w:color="auto" w:fill="CCCCCC"/>
            <w:vAlign w:val="center"/>
            <w:hideMark/>
          </w:tcPr>
          <w:p w:rsidR="00A51A62" w:rsidRDefault="00A51A62" w:rsidP="003C3157">
            <w:pPr>
              <w:spacing w:after="0" w:line="240" w:lineRule="auto"/>
              <w:jc w:val="center"/>
              <w:rPr>
                <w:rFonts w:ascii="Times New Roman" w:hAnsi="Times New Roman"/>
                <w:bCs/>
                <w:i/>
                <w:color w:val="000000"/>
                <w:sz w:val="18"/>
                <w:szCs w:val="18"/>
              </w:rPr>
            </w:pPr>
            <w:r>
              <w:rPr>
                <w:rFonts w:ascii="Times New Roman" w:hAnsi="Times New Roman"/>
                <w:bCs/>
                <w:i/>
                <w:color w:val="000000"/>
                <w:sz w:val="18"/>
                <w:szCs w:val="18"/>
              </w:rPr>
              <w:t>{/ECO}</w:t>
            </w:r>
          </w:p>
        </w:tc>
      </w:tr>
      <w:tr w:rsidR="00A51A62" w:rsidTr="003C3157">
        <w:trPr>
          <w:trHeight w:val="720"/>
        </w:trPr>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A51A62" w:rsidRDefault="00A51A62" w:rsidP="003C3157">
            <w:pPr>
              <w:spacing w:after="0" w:line="240" w:lineRule="auto"/>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51A62" w:rsidRDefault="00A51A62" w:rsidP="003C3157">
            <w:pPr>
              <w:spacing w:after="0" w:line="240" w:lineRule="auto"/>
              <w:rPr>
                <w:rFonts w:ascii="Times New Roman" w:hAnsi="Times New Roman"/>
                <w:bCs/>
                <w:i/>
                <w:iCs/>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51A62" w:rsidRDefault="00A51A62" w:rsidP="003C3157">
            <w:pPr>
              <w:spacing w:after="0" w:line="240" w:lineRule="auto"/>
              <w:rPr>
                <w:rFonts w:ascii="Times New Roman" w:hAnsi="Times New Roman"/>
                <w:bCs/>
                <w:i/>
                <w:iCs/>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51A62" w:rsidRDefault="00A51A62" w:rsidP="003C3157">
            <w:pPr>
              <w:spacing w:after="0" w:line="240" w:lineRule="auto"/>
              <w:rPr>
                <w:rFonts w:ascii="Times New Roman" w:hAnsi="Times New Roman"/>
                <w:i/>
                <w:iCs/>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51A62" w:rsidRDefault="00A51A62" w:rsidP="003C3157">
            <w:pPr>
              <w:spacing w:after="0" w:line="240" w:lineRule="auto"/>
              <w:rPr>
                <w:rFonts w:ascii="Times New Roman" w:hAnsi="Times New Roman"/>
                <w:i/>
                <w:iCs/>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51A62" w:rsidRDefault="00A51A62" w:rsidP="003C3157">
            <w:pPr>
              <w:spacing w:after="0" w:line="240" w:lineRule="auto"/>
              <w:rPr>
                <w:rFonts w:ascii="Times New Roman" w:hAnsi="Times New Roman"/>
                <w:i/>
                <w:iCs/>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51A62" w:rsidRDefault="00A51A62" w:rsidP="003C3157">
            <w:pPr>
              <w:spacing w:after="0" w:line="240" w:lineRule="auto"/>
              <w:rPr>
                <w:rFonts w:ascii="Times New Roman" w:hAnsi="Times New Roman"/>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51A62" w:rsidRDefault="00A51A62" w:rsidP="003C3157">
            <w:pPr>
              <w:spacing w:after="0" w:line="240" w:lineRule="auto"/>
              <w:rPr>
                <w:rFonts w:ascii="Times New Roman" w:hAnsi="Times New Roman"/>
                <w:color w:val="000000"/>
                <w:sz w:val="18"/>
                <w:szCs w:val="18"/>
              </w:rPr>
            </w:pPr>
          </w:p>
        </w:tc>
        <w:tc>
          <w:tcPr>
            <w:tcW w:w="767" w:type="dxa"/>
            <w:tcBorders>
              <w:top w:val="nil"/>
              <w:left w:val="nil"/>
              <w:bottom w:val="nil"/>
              <w:right w:val="single" w:sz="8" w:space="0" w:color="000000"/>
            </w:tcBorders>
            <w:shd w:val="clear" w:color="auto" w:fill="CCCCCC"/>
            <w:vAlign w:val="center"/>
            <w:hideMark/>
          </w:tcPr>
          <w:p w:rsidR="00A51A62" w:rsidRDefault="00A51A62" w:rsidP="003C3157">
            <w:pPr>
              <w:spacing w:after="0" w:line="240" w:lineRule="auto"/>
              <w:jc w:val="center"/>
              <w:rPr>
                <w:rFonts w:ascii="Times New Roman" w:hAnsi="Times New Roman"/>
                <w:color w:val="000000"/>
                <w:sz w:val="18"/>
                <w:szCs w:val="18"/>
              </w:rPr>
            </w:pPr>
            <w:r>
              <w:rPr>
                <w:rFonts w:ascii="Times New Roman" w:hAnsi="Times New Roman"/>
                <w:color w:val="000000"/>
                <w:sz w:val="18"/>
                <w:szCs w:val="18"/>
              </w:rPr>
              <w:t>(within /TOD only)</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51A62" w:rsidRDefault="00A51A62" w:rsidP="003C3157">
            <w:pPr>
              <w:spacing w:after="0" w:line="240" w:lineRule="auto"/>
              <w:rPr>
                <w:rFonts w:ascii="Times New Roman" w:hAnsi="Times New Roman"/>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51A62" w:rsidRDefault="00A51A62" w:rsidP="003C3157">
            <w:pPr>
              <w:spacing w:after="0" w:line="240" w:lineRule="auto"/>
              <w:rPr>
                <w:rFonts w:ascii="Times New Roman" w:hAnsi="Times New Roman"/>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51A62" w:rsidRDefault="00A51A62" w:rsidP="003C3157">
            <w:pPr>
              <w:spacing w:after="0" w:line="240" w:lineRule="auto"/>
              <w:rPr>
                <w:rFonts w:ascii="Times New Roman" w:hAnsi="Times New Roman"/>
                <w:bCs/>
                <w:i/>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51A62" w:rsidRDefault="00A51A62" w:rsidP="003C3157">
            <w:pPr>
              <w:spacing w:after="0" w:line="240" w:lineRule="auto"/>
              <w:rPr>
                <w:rFonts w:ascii="Times New Roman" w:hAnsi="Times New Roman"/>
                <w:bCs/>
                <w:i/>
                <w:color w:val="000000"/>
                <w:sz w:val="18"/>
                <w:szCs w:val="18"/>
              </w:rPr>
            </w:pPr>
          </w:p>
        </w:tc>
      </w:tr>
      <w:tr w:rsidR="00A51A62" w:rsidTr="003C3157">
        <w:trPr>
          <w:trHeight w:val="288"/>
        </w:trPr>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A51A62" w:rsidRDefault="00A51A62" w:rsidP="003C3157">
            <w:pPr>
              <w:spacing w:after="0" w:line="240" w:lineRule="auto"/>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51A62" w:rsidRDefault="00A51A62" w:rsidP="003C3157">
            <w:pPr>
              <w:spacing w:after="0" w:line="240" w:lineRule="auto"/>
              <w:rPr>
                <w:rFonts w:ascii="Times New Roman" w:hAnsi="Times New Roman"/>
                <w:bCs/>
                <w:i/>
                <w:iCs/>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51A62" w:rsidRDefault="00A51A62" w:rsidP="003C3157">
            <w:pPr>
              <w:spacing w:after="0" w:line="240" w:lineRule="auto"/>
              <w:rPr>
                <w:rFonts w:ascii="Times New Roman" w:hAnsi="Times New Roman"/>
                <w:bCs/>
                <w:i/>
                <w:iCs/>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51A62" w:rsidRDefault="00A51A62" w:rsidP="003C3157">
            <w:pPr>
              <w:spacing w:after="0" w:line="240" w:lineRule="auto"/>
              <w:rPr>
                <w:rFonts w:ascii="Times New Roman" w:hAnsi="Times New Roman"/>
                <w:i/>
                <w:iCs/>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51A62" w:rsidRDefault="00A51A62" w:rsidP="003C3157">
            <w:pPr>
              <w:spacing w:after="0" w:line="240" w:lineRule="auto"/>
              <w:rPr>
                <w:rFonts w:ascii="Times New Roman" w:hAnsi="Times New Roman"/>
                <w:i/>
                <w:iCs/>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51A62" w:rsidRDefault="00A51A62" w:rsidP="003C3157">
            <w:pPr>
              <w:spacing w:after="0" w:line="240" w:lineRule="auto"/>
              <w:rPr>
                <w:rFonts w:ascii="Times New Roman" w:hAnsi="Times New Roman"/>
                <w:i/>
                <w:iCs/>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51A62" w:rsidRDefault="00A51A62" w:rsidP="003C3157">
            <w:pPr>
              <w:spacing w:after="0" w:line="240" w:lineRule="auto"/>
              <w:rPr>
                <w:rFonts w:ascii="Times New Roman" w:hAnsi="Times New Roman"/>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51A62" w:rsidRDefault="00A51A62" w:rsidP="003C3157">
            <w:pPr>
              <w:spacing w:after="0" w:line="240" w:lineRule="auto"/>
              <w:rPr>
                <w:rFonts w:ascii="Times New Roman" w:hAnsi="Times New Roman"/>
                <w:color w:val="000000"/>
                <w:sz w:val="18"/>
                <w:szCs w:val="18"/>
              </w:rPr>
            </w:pPr>
          </w:p>
        </w:tc>
        <w:tc>
          <w:tcPr>
            <w:tcW w:w="767" w:type="dxa"/>
            <w:tcBorders>
              <w:top w:val="nil"/>
              <w:left w:val="nil"/>
              <w:bottom w:val="nil"/>
              <w:right w:val="single" w:sz="8" w:space="0" w:color="000000"/>
            </w:tcBorders>
            <w:shd w:val="clear" w:color="auto" w:fill="CCCCCC"/>
            <w:vAlign w:val="center"/>
            <w:hideMark/>
          </w:tcPr>
          <w:p w:rsidR="00A51A62" w:rsidRDefault="00A51A62" w:rsidP="003C3157">
            <w:pPr>
              <w:spacing w:after="0" w:line="240" w:lineRule="auto"/>
              <w:rPr>
                <w:color w:val="000000"/>
              </w:rPr>
            </w:pPr>
            <w:r>
              <w:rPr>
                <w:color w:val="000000"/>
              </w:rPr>
              <w:t>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51A62" w:rsidRDefault="00A51A62" w:rsidP="003C3157">
            <w:pPr>
              <w:spacing w:after="0" w:line="240" w:lineRule="auto"/>
              <w:rPr>
                <w:rFonts w:ascii="Times New Roman" w:hAnsi="Times New Roman"/>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51A62" w:rsidRDefault="00A51A62" w:rsidP="003C3157">
            <w:pPr>
              <w:spacing w:after="0" w:line="240" w:lineRule="auto"/>
              <w:rPr>
                <w:rFonts w:ascii="Times New Roman" w:hAnsi="Times New Roman"/>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51A62" w:rsidRDefault="00A51A62" w:rsidP="003C3157">
            <w:pPr>
              <w:spacing w:after="0" w:line="240" w:lineRule="auto"/>
              <w:rPr>
                <w:rFonts w:ascii="Times New Roman" w:hAnsi="Times New Roman"/>
                <w:bCs/>
                <w:i/>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51A62" w:rsidRDefault="00A51A62" w:rsidP="003C3157">
            <w:pPr>
              <w:spacing w:after="0" w:line="240" w:lineRule="auto"/>
              <w:rPr>
                <w:rFonts w:ascii="Times New Roman" w:hAnsi="Times New Roman"/>
                <w:bCs/>
                <w:i/>
                <w:color w:val="000000"/>
                <w:sz w:val="18"/>
                <w:szCs w:val="18"/>
              </w:rPr>
            </w:pPr>
          </w:p>
        </w:tc>
      </w:tr>
      <w:tr w:rsidR="00A51A62" w:rsidTr="003C3157">
        <w:trPr>
          <w:trHeight w:val="288"/>
        </w:trPr>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A51A62" w:rsidRDefault="00A51A62" w:rsidP="003C3157">
            <w:pPr>
              <w:spacing w:after="0" w:line="240" w:lineRule="auto"/>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51A62" w:rsidRDefault="00A51A62" w:rsidP="003C3157">
            <w:pPr>
              <w:spacing w:after="0" w:line="240" w:lineRule="auto"/>
              <w:rPr>
                <w:rFonts w:ascii="Times New Roman" w:hAnsi="Times New Roman"/>
                <w:bCs/>
                <w:i/>
                <w:iCs/>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51A62" w:rsidRDefault="00A51A62" w:rsidP="003C3157">
            <w:pPr>
              <w:spacing w:after="0" w:line="240" w:lineRule="auto"/>
              <w:rPr>
                <w:rFonts w:ascii="Times New Roman" w:hAnsi="Times New Roman"/>
                <w:bCs/>
                <w:i/>
                <w:iCs/>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51A62" w:rsidRDefault="00A51A62" w:rsidP="003C3157">
            <w:pPr>
              <w:spacing w:after="0" w:line="240" w:lineRule="auto"/>
              <w:rPr>
                <w:rFonts w:ascii="Times New Roman" w:hAnsi="Times New Roman"/>
                <w:i/>
                <w:iCs/>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51A62" w:rsidRDefault="00A51A62" w:rsidP="003C3157">
            <w:pPr>
              <w:spacing w:after="0" w:line="240" w:lineRule="auto"/>
              <w:rPr>
                <w:rFonts w:ascii="Times New Roman" w:hAnsi="Times New Roman"/>
                <w:i/>
                <w:iCs/>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51A62" w:rsidRDefault="00A51A62" w:rsidP="003C3157">
            <w:pPr>
              <w:spacing w:after="0" w:line="240" w:lineRule="auto"/>
              <w:rPr>
                <w:rFonts w:ascii="Times New Roman" w:hAnsi="Times New Roman"/>
                <w:i/>
                <w:iCs/>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51A62" w:rsidRDefault="00A51A62" w:rsidP="003C3157">
            <w:pPr>
              <w:spacing w:after="0" w:line="240" w:lineRule="auto"/>
              <w:rPr>
                <w:rFonts w:ascii="Times New Roman" w:hAnsi="Times New Roman"/>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51A62" w:rsidRDefault="00A51A62" w:rsidP="003C3157">
            <w:pPr>
              <w:spacing w:after="0" w:line="240" w:lineRule="auto"/>
              <w:rPr>
                <w:rFonts w:ascii="Times New Roman" w:hAnsi="Times New Roman"/>
                <w:color w:val="000000"/>
                <w:sz w:val="18"/>
                <w:szCs w:val="18"/>
              </w:rPr>
            </w:pPr>
          </w:p>
        </w:tc>
        <w:tc>
          <w:tcPr>
            <w:tcW w:w="767" w:type="dxa"/>
            <w:tcBorders>
              <w:top w:val="nil"/>
              <w:left w:val="nil"/>
              <w:bottom w:val="nil"/>
              <w:right w:val="single" w:sz="8" w:space="0" w:color="000000"/>
            </w:tcBorders>
            <w:shd w:val="clear" w:color="auto" w:fill="CCCCCC"/>
            <w:vAlign w:val="center"/>
            <w:hideMark/>
          </w:tcPr>
          <w:p w:rsidR="00A51A62" w:rsidRDefault="00A51A62" w:rsidP="003C3157">
            <w:pPr>
              <w:spacing w:after="0" w:line="240" w:lineRule="auto"/>
              <w:rPr>
                <w:color w:val="000000"/>
              </w:rPr>
            </w:pPr>
            <w:r>
              <w:rPr>
                <w:color w:val="000000"/>
              </w:rPr>
              <w:t>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51A62" w:rsidRDefault="00A51A62" w:rsidP="003C3157">
            <w:pPr>
              <w:spacing w:after="0" w:line="240" w:lineRule="auto"/>
              <w:rPr>
                <w:rFonts w:ascii="Times New Roman" w:hAnsi="Times New Roman"/>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51A62" w:rsidRDefault="00A51A62" w:rsidP="003C3157">
            <w:pPr>
              <w:spacing w:after="0" w:line="240" w:lineRule="auto"/>
              <w:rPr>
                <w:rFonts w:ascii="Times New Roman" w:hAnsi="Times New Roman"/>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51A62" w:rsidRDefault="00A51A62" w:rsidP="003C3157">
            <w:pPr>
              <w:spacing w:after="0" w:line="240" w:lineRule="auto"/>
              <w:rPr>
                <w:rFonts w:ascii="Times New Roman" w:hAnsi="Times New Roman"/>
                <w:bCs/>
                <w:i/>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51A62" w:rsidRDefault="00A51A62" w:rsidP="003C3157">
            <w:pPr>
              <w:spacing w:after="0" w:line="240" w:lineRule="auto"/>
              <w:rPr>
                <w:rFonts w:ascii="Times New Roman" w:hAnsi="Times New Roman"/>
                <w:bCs/>
                <w:i/>
                <w:color w:val="000000"/>
                <w:sz w:val="18"/>
                <w:szCs w:val="18"/>
              </w:rPr>
            </w:pPr>
          </w:p>
        </w:tc>
      </w:tr>
      <w:tr w:rsidR="00A51A62" w:rsidTr="003C3157">
        <w:trPr>
          <w:trHeight w:val="300"/>
        </w:trPr>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A51A62" w:rsidRDefault="00A51A62" w:rsidP="003C3157">
            <w:pPr>
              <w:spacing w:after="0" w:line="240" w:lineRule="auto"/>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51A62" w:rsidRDefault="00A51A62" w:rsidP="003C3157">
            <w:pPr>
              <w:spacing w:after="0" w:line="240" w:lineRule="auto"/>
              <w:rPr>
                <w:rFonts w:ascii="Times New Roman" w:hAnsi="Times New Roman"/>
                <w:bCs/>
                <w:i/>
                <w:iCs/>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51A62" w:rsidRDefault="00A51A62" w:rsidP="003C3157">
            <w:pPr>
              <w:spacing w:after="0" w:line="240" w:lineRule="auto"/>
              <w:rPr>
                <w:rFonts w:ascii="Times New Roman" w:hAnsi="Times New Roman"/>
                <w:bCs/>
                <w:i/>
                <w:iCs/>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51A62" w:rsidRDefault="00A51A62" w:rsidP="003C3157">
            <w:pPr>
              <w:spacing w:after="0" w:line="240" w:lineRule="auto"/>
              <w:rPr>
                <w:rFonts w:ascii="Times New Roman" w:hAnsi="Times New Roman"/>
                <w:i/>
                <w:iCs/>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51A62" w:rsidRDefault="00A51A62" w:rsidP="003C3157">
            <w:pPr>
              <w:spacing w:after="0" w:line="240" w:lineRule="auto"/>
              <w:rPr>
                <w:rFonts w:ascii="Times New Roman" w:hAnsi="Times New Roman"/>
                <w:i/>
                <w:iCs/>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51A62" w:rsidRDefault="00A51A62" w:rsidP="003C3157">
            <w:pPr>
              <w:spacing w:after="0" w:line="240" w:lineRule="auto"/>
              <w:rPr>
                <w:rFonts w:ascii="Times New Roman" w:hAnsi="Times New Roman"/>
                <w:i/>
                <w:iCs/>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51A62" w:rsidRDefault="00A51A62" w:rsidP="003C3157">
            <w:pPr>
              <w:spacing w:after="0" w:line="240" w:lineRule="auto"/>
              <w:rPr>
                <w:rFonts w:ascii="Times New Roman" w:hAnsi="Times New Roman"/>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51A62" w:rsidRDefault="00A51A62" w:rsidP="003C3157">
            <w:pPr>
              <w:spacing w:after="0" w:line="240" w:lineRule="auto"/>
              <w:rPr>
                <w:rFonts w:ascii="Times New Roman" w:hAnsi="Times New Roman"/>
                <w:color w:val="000000"/>
                <w:sz w:val="18"/>
                <w:szCs w:val="18"/>
              </w:rPr>
            </w:pPr>
          </w:p>
        </w:tc>
        <w:tc>
          <w:tcPr>
            <w:tcW w:w="767" w:type="dxa"/>
            <w:tcBorders>
              <w:top w:val="nil"/>
              <w:left w:val="nil"/>
              <w:bottom w:val="single" w:sz="8" w:space="0" w:color="000000"/>
              <w:right w:val="single" w:sz="8" w:space="0" w:color="000000"/>
            </w:tcBorders>
            <w:shd w:val="clear" w:color="auto" w:fill="CCCCCC"/>
            <w:vAlign w:val="center"/>
            <w:hideMark/>
          </w:tcPr>
          <w:p w:rsidR="00A51A62" w:rsidRDefault="00A51A62" w:rsidP="003C3157">
            <w:pPr>
              <w:spacing w:after="0" w:line="240" w:lineRule="auto"/>
              <w:rPr>
                <w:color w:val="000000"/>
              </w:rPr>
            </w:pPr>
            <w:r>
              <w:rPr>
                <w:color w:val="000000"/>
              </w:rPr>
              <w:t>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51A62" w:rsidRDefault="00A51A62" w:rsidP="003C3157">
            <w:pPr>
              <w:spacing w:after="0" w:line="240" w:lineRule="auto"/>
              <w:rPr>
                <w:rFonts w:ascii="Times New Roman" w:hAnsi="Times New Roman"/>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51A62" w:rsidRDefault="00A51A62" w:rsidP="003C3157">
            <w:pPr>
              <w:spacing w:after="0" w:line="240" w:lineRule="auto"/>
              <w:rPr>
                <w:rFonts w:ascii="Times New Roman" w:hAnsi="Times New Roman"/>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51A62" w:rsidRDefault="00A51A62" w:rsidP="003C3157">
            <w:pPr>
              <w:spacing w:after="0" w:line="240" w:lineRule="auto"/>
              <w:rPr>
                <w:rFonts w:ascii="Times New Roman" w:hAnsi="Times New Roman"/>
                <w:bCs/>
                <w:i/>
                <w:color w:val="000000"/>
                <w:sz w:val="18"/>
                <w:szCs w:val="1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51A62" w:rsidRDefault="00A51A62" w:rsidP="003C3157">
            <w:pPr>
              <w:spacing w:after="0" w:line="240" w:lineRule="auto"/>
              <w:rPr>
                <w:rFonts w:ascii="Times New Roman" w:hAnsi="Times New Roman"/>
                <w:bCs/>
                <w:i/>
                <w:color w:val="000000"/>
                <w:sz w:val="18"/>
                <w:szCs w:val="18"/>
              </w:rPr>
            </w:pPr>
          </w:p>
        </w:tc>
      </w:tr>
      <w:tr w:rsidR="00A51A62" w:rsidTr="003C3157">
        <w:trPr>
          <w:trHeight w:val="804"/>
        </w:trPr>
        <w:tc>
          <w:tcPr>
            <w:tcW w:w="910" w:type="dxa"/>
            <w:vMerge w:val="restart"/>
            <w:tcBorders>
              <w:top w:val="nil"/>
              <w:left w:val="single" w:sz="8" w:space="0" w:color="000000"/>
              <w:bottom w:val="single" w:sz="8" w:space="0" w:color="000000"/>
              <w:right w:val="single" w:sz="8" w:space="0" w:color="000000"/>
            </w:tcBorders>
            <w:vAlign w:val="center"/>
            <w:hideMark/>
          </w:tcPr>
          <w:p w:rsidR="00A51A62" w:rsidRDefault="00A51A62" w:rsidP="003C3157">
            <w:pPr>
              <w:spacing w:after="0" w:line="240" w:lineRule="auto"/>
              <w:rPr>
                <w:rFonts w:ascii="Times New Roman" w:hAnsi="Times New Roman"/>
                <w:color w:val="000000"/>
                <w:sz w:val="18"/>
                <w:szCs w:val="18"/>
              </w:rPr>
            </w:pPr>
            <w:r>
              <w:rPr>
                <w:rFonts w:ascii="Times New Roman" w:hAnsi="Times New Roman"/>
                <w:color w:val="000000"/>
                <w:sz w:val="18"/>
                <w:szCs w:val="18"/>
              </w:rPr>
              <w:t>Mixed Income Housing (§ 14-702(7))</w:t>
            </w:r>
          </w:p>
        </w:tc>
        <w:tc>
          <w:tcPr>
            <w:tcW w:w="931" w:type="dxa"/>
            <w:tcBorders>
              <w:top w:val="nil"/>
              <w:left w:val="nil"/>
              <w:bottom w:val="single" w:sz="8" w:space="0" w:color="000000"/>
              <w:right w:val="single" w:sz="8" w:space="0" w:color="000000"/>
            </w:tcBorders>
            <w:vAlign w:val="center"/>
            <w:hideMark/>
          </w:tcPr>
          <w:p w:rsidR="00A51A62" w:rsidRDefault="00A51A62" w:rsidP="003C3157">
            <w:pPr>
              <w:spacing w:after="0" w:line="240" w:lineRule="auto"/>
              <w:rPr>
                <w:rFonts w:ascii="Times New Roman" w:hAnsi="Times New Roman"/>
                <w:color w:val="000000"/>
                <w:sz w:val="18"/>
                <w:szCs w:val="18"/>
              </w:rPr>
            </w:pPr>
            <w:r>
              <w:rPr>
                <w:rFonts w:ascii="Times New Roman" w:hAnsi="Times New Roman"/>
                <w:color w:val="000000"/>
                <w:sz w:val="18"/>
                <w:szCs w:val="18"/>
              </w:rPr>
              <w:t>Moderate Income</w:t>
            </w:r>
          </w:p>
        </w:tc>
        <w:tc>
          <w:tcPr>
            <w:tcW w:w="725" w:type="dxa"/>
            <w:tcBorders>
              <w:top w:val="nil"/>
              <w:left w:val="nil"/>
              <w:bottom w:val="single" w:sz="8" w:space="0" w:color="000000"/>
              <w:right w:val="single" w:sz="8" w:space="0" w:color="000000"/>
            </w:tcBorders>
            <w:vAlign w:val="center"/>
            <w:hideMark/>
          </w:tcPr>
          <w:p w:rsidR="00A51A62" w:rsidRDefault="00A51A62" w:rsidP="003C3157">
            <w:pPr>
              <w:spacing w:after="0" w:line="240" w:lineRule="auto"/>
              <w:jc w:val="center"/>
              <w:rPr>
                <w:rFonts w:ascii="Times New Roman" w:hAnsi="Times New Roman"/>
                <w:bCs/>
                <w:i/>
                <w:iCs/>
                <w:color w:val="000000"/>
                <w:sz w:val="20"/>
                <w:szCs w:val="20"/>
              </w:rPr>
            </w:pPr>
            <w:r>
              <w:rPr>
                <w:rFonts w:ascii="Times New Roman" w:hAnsi="Times New Roman"/>
                <w:bCs/>
                <w:i/>
                <w:iCs/>
                <w:color w:val="000000"/>
                <w:sz w:val="20"/>
                <w:szCs w:val="20"/>
              </w:rPr>
              <w:t>25%</w:t>
            </w:r>
          </w:p>
        </w:tc>
        <w:tc>
          <w:tcPr>
            <w:tcW w:w="752" w:type="dxa"/>
            <w:tcBorders>
              <w:top w:val="nil"/>
              <w:left w:val="nil"/>
              <w:bottom w:val="single" w:sz="8" w:space="0" w:color="000000"/>
              <w:right w:val="single" w:sz="8" w:space="0" w:color="000000"/>
            </w:tcBorders>
            <w:vAlign w:val="center"/>
            <w:hideMark/>
          </w:tcPr>
          <w:p w:rsidR="00A51A62" w:rsidRDefault="00A51A62" w:rsidP="003C3157">
            <w:pPr>
              <w:spacing w:after="0" w:line="240" w:lineRule="auto"/>
              <w:jc w:val="center"/>
              <w:rPr>
                <w:rFonts w:ascii="Times New Roman" w:hAnsi="Times New Roman"/>
                <w:bCs/>
                <w:i/>
                <w:iCs/>
                <w:color w:val="000000"/>
                <w:sz w:val="20"/>
                <w:szCs w:val="20"/>
              </w:rPr>
            </w:pPr>
            <w:r>
              <w:rPr>
                <w:rFonts w:ascii="Times New Roman" w:hAnsi="Times New Roman"/>
                <w:bCs/>
                <w:i/>
                <w:iCs/>
                <w:color w:val="000000"/>
                <w:sz w:val="20"/>
                <w:szCs w:val="20"/>
              </w:rPr>
              <w:t>50%</w:t>
            </w:r>
          </w:p>
        </w:tc>
        <w:tc>
          <w:tcPr>
            <w:tcW w:w="1048" w:type="dxa"/>
            <w:tcBorders>
              <w:top w:val="nil"/>
              <w:left w:val="nil"/>
              <w:bottom w:val="single" w:sz="8" w:space="0" w:color="000000"/>
              <w:right w:val="single" w:sz="8" w:space="0" w:color="000000"/>
            </w:tcBorders>
            <w:vAlign w:val="center"/>
            <w:hideMark/>
          </w:tcPr>
          <w:p w:rsidR="00A51A62" w:rsidRDefault="00A51A62" w:rsidP="003C3157">
            <w:pPr>
              <w:spacing w:after="0" w:line="240" w:lineRule="auto"/>
              <w:jc w:val="center"/>
              <w:rPr>
                <w:rFonts w:ascii="Times New Roman" w:hAnsi="Times New Roman"/>
                <w:bCs/>
                <w:i/>
                <w:iCs/>
                <w:color w:val="000000"/>
                <w:sz w:val="20"/>
                <w:szCs w:val="20"/>
              </w:rPr>
            </w:pPr>
            <w:r>
              <w:rPr>
                <w:rFonts w:ascii="Times New Roman" w:hAnsi="Times New Roman"/>
                <w:bCs/>
                <w:i/>
                <w:iCs/>
                <w:color w:val="000000"/>
                <w:sz w:val="20"/>
                <w:szCs w:val="20"/>
              </w:rPr>
              <w:t>100%</w:t>
            </w:r>
          </w:p>
        </w:tc>
        <w:tc>
          <w:tcPr>
            <w:tcW w:w="753" w:type="dxa"/>
            <w:tcBorders>
              <w:top w:val="nil"/>
              <w:left w:val="nil"/>
              <w:bottom w:val="single" w:sz="8" w:space="0" w:color="000000"/>
              <w:right w:val="single" w:sz="8" w:space="0" w:color="000000"/>
            </w:tcBorders>
            <w:vAlign w:val="center"/>
            <w:hideMark/>
          </w:tcPr>
          <w:p w:rsidR="00A51A62" w:rsidRDefault="00A51A62" w:rsidP="003C3157">
            <w:pPr>
              <w:spacing w:after="0" w:line="240" w:lineRule="auto"/>
              <w:jc w:val="center"/>
              <w:rPr>
                <w:rFonts w:ascii="Times New Roman" w:hAnsi="Times New Roman"/>
                <w:bCs/>
                <w:i/>
                <w:iCs/>
                <w:color w:val="000000"/>
                <w:sz w:val="20"/>
                <w:szCs w:val="20"/>
              </w:rPr>
            </w:pPr>
            <w:r>
              <w:rPr>
                <w:rFonts w:ascii="Times New Roman" w:hAnsi="Times New Roman"/>
                <w:bCs/>
                <w:i/>
                <w:iCs/>
                <w:color w:val="000000"/>
                <w:sz w:val="20"/>
                <w:szCs w:val="20"/>
              </w:rPr>
              <w:t>75%</w:t>
            </w:r>
          </w:p>
        </w:tc>
        <w:tc>
          <w:tcPr>
            <w:tcW w:w="753" w:type="dxa"/>
            <w:tcBorders>
              <w:top w:val="nil"/>
              <w:left w:val="nil"/>
              <w:bottom w:val="single" w:sz="8" w:space="0" w:color="000000"/>
              <w:right w:val="single" w:sz="8" w:space="0" w:color="000000"/>
            </w:tcBorders>
            <w:vAlign w:val="center"/>
            <w:hideMark/>
          </w:tcPr>
          <w:p w:rsidR="00A51A62" w:rsidRDefault="00A51A62" w:rsidP="003C3157">
            <w:pPr>
              <w:spacing w:after="0" w:line="240" w:lineRule="auto"/>
              <w:jc w:val="center"/>
              <w:rPr>
                <w:rFonts w:ascii="Times New Roman" w:hAnsi="Times New Roman"/>
                <w:bCs/>
                <w:i/>
                <w:iCs/>
                <w:color w:val="000000"/>
                <w:sz w:val="20"/>
                <w:szCs w:val="20"/>
              </w:rPr>
            </w:pPr>
            <w:r>
              <w:rPr>
                <w:rFonts w:ascii="Times New Roman" w:hAnsi="Times New Roman"/>
                <w:bCs/>
                <w:i/>
                <w:iCs/>
                <w:color w:val="000000"/>
                <w:sz w:val="20"/>
                <w:szCs w:val="20"/>
              </w:rPr>
              <w:t>150%</w:t>
            </w:r>
          </w:p>
        </w:tc>
        <w:tc>
          <w:tcPr>
            <w:tcW w:w="763" w:type="dxa"/>
            <w:tcBorders>
              <w:top w:val="nil"/>
              <w:left w:val="nil"/>
              <w:bottom w:val="single" w:sz="8" w:space="0" w:color="000000"/>
              <w:right w:val="single" w:sz="8" w:space="0" w:color="000000"/>
            </w:tcBorders>
            <w:vAlign w:val="center"/>
            <w:hideMark/>
          </w:tcPr>
          <w:p w:rsidR="00A51A62" w:rsidRDefault="00A51A62" w:rsidP="003C3157">
            <w:pPr>
              <w:spacing w:after="0" w:line="240" w:lineRule="auto"/>
              <w:jc w:val="center"/>
              <w:rPr>
                <w:rFonts w:ascii="Times New Roman" w:hAnsi="Times New Roman"/>
                <w:color w:val="000000"/>
                <w:sz w:val="20"/>
                <w:szCs w:val="20"/>
              </w:rPr>
            </w:pPr>
            <w:r>
              <w:rPr>
                <w:rFonts w:ascii="Times New Roman" w:hAnsi="Times New Roman"/>
                <w:bCs/>
                <w:color w:val="000000"/>
                <w:sz w:val="20"/>
                <w:szCs w:val="20"/>
              </w:rPr>
              <w:t xml:space="preserve">{N/A} </w:t>
            </w:r>
            <w:r>
              <w:rPr>
                <w:rFonts w:ascii="Times New Roman" w:hAnsi="Times New Roman"/>
                <w:i/>
                <w:iCs/>
                <w:color w:val="000000"/>
                <w:sz w:val="20"/>
                <w:szCs w:val="20"/>
              </w:rPr>
              <w:t>150%</w:t>
            </w:r>
          </w:p>
        </w:tc>
        <w:tc>
          <w:tcPr>
            <w:tcW w:w="896" w:type="dxa"/>
            <w:tcBorders>
              <w:top w:val="nil"/>
              <w:left w:val="nil"/>
              <w:bottom w:val="single" w:sz="8" w:space="0" w:color="000000"/>
              <w:right w:val="single" w:sz="8" w:space="0" w:color="000000"/>
            </w:tcBorders>
            <w:vAlign w:val="center"/>
            <w:hideMark/>
          </w:tcPr>
          <w:p w:rsidR="00A51A62" w:rsidRDefault="00A51A62" w:rsidP="003C315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150%</w:t>
            </w:r>
          </w:p>
        </w:tc>
        <w:tc>
          <w:tcPr>
            <w:tcW w:w="767" w:type="dxa"/>
            <w:tcBorders>
              <w:top w:val="nil"/>
              <w:left w:val="nil"/>
              <w:bottom w:val="single" w:sz="8" w:space="0" w:color="000000"/>
              <w:right w:val="single" w:sz="8" w:space="0" w:color="000000"/>
            </w:tcBorders>
            <w:vAlign w:val="center"/>
            <w:hideMark/>
          </w:tcPr>
          <w:p w:rsidR="00A51A62" w:rsidRDefault="00A51A62" w:rsidP="003C315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200%</w:t>
            </w:r>
          </w:p>
        </w:tc>
        <w:tc>
          <w:tcPr>
            <w:tcW w:w="754" w:type="dxa"/>
            <w:tcBorders>
              <w:top w:val="nil"/>
              <w:left w:val="nil"/>
              <w:bottom w:val="single" w:sz="8" w:space="0" w:color="000000"/>
              <w:right w:val="single" w:sz="8" w:space="0" w:color="000000"/>
            </w:tcBorders>
            <w:vAlign w:val="center"/>
            <w:hideMark/>
          </w:tcPr>
          <w:p w:rsidR="00A51A62" w:rsidRDefault="00A51A62" w:rsidP="003C3157">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150%</w:t>
            </w:r>
          </w:p>
        </w:tc>
        <w:tc>
          <w:tcPr>
            <w:tcW w:w="754" w:type="dxa"/>
            <w:tcBorders>
              <w:top w:val="nil"/>
              <w:left w:val="nil"/>
              <w:bottom w:val="single" w:sz="8" w:space="0" w:color="000000"/>
              <w:right w:val="single" w:sz="8" w:space="0" w:color="000000"/>
            </w:tcBorders>
            <w:vAlign w:val="center"/>
            <w:hideMark/>
          </w:tcPr>
          <w:p w:rsidR="00A51A62" w:rsidRDefault="00A51A62" w:rsidP="003C3157">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300%</w:t>
            </w:r>
          </w:p>
        </w:tc>
        <w:tc>
          <w:tcPr>
            <w:tcW w:w="772" w:type="dxa"/>
            <w:tcBorders>
              <w:top w:val="nil"/>
              <w:left w:val="nil"/>
              <w:bottom w:val="single" w:sz="8" w:space="0" w:color="000000"/>
              <w:right w:val="single" w:sz="8" w:space="0" w:color="000000"/>
            </w:tcBorders>
            <w:vAlign w:val="center"/>
            <w:hideMark/>
          </w:tcPr>
          <w:p w:rsidR="00A51A62" w:rsidRDefault="00A51A62" w:rsidP="003C3157">
            <w:pPr>
              <w:spacing w:after="0" w:line="240" w:lineRule="auto"/>
              <w:jc w:val="center"/>
              <w:rPr>
                <w:rFonts w:ascii="Times New Roman" w:hAnsi="Times New Roman"/>
                <w:bCs/>
                <w:iCs/>
                <w:color w:val="000000"/>
                <w:sz w:val="20"/>
                <w:szCs w:val="20"/>
              </w:rPr>
            </w:pPr>
            <w:r>
              <w:rPr>
                <w:rFonts w:ascii="Times New Roman" w:hAnsi="Times New Roman"/>
                <w:bCs/>
                <w:iCs/>
                <w:color w:val="000000"/>
                <w:sz w:val="20"/>
                <w:szCs w:val="20"/>
              </w:rPr>
              <w:t>{48 ft.}</w:t>
            </w:r>
          </w:p>
        </w:tc>
        <w:tc>
          <w:tcPr>
            <w:tcW w:w="762" w:type="dxa"/>
            <w:tcBorders>
              <w:top w:val="nil"/>
              <w:left w:val="nil"/>
              <w:bottom w:val="single" w:sz="8" w:space="0" w:color="000000"/>
              <w:right w:val="single" w:sz="8" w:space="0" w:color="000000"/>
            </w:tcBorders>
            <w:vAlign w:val="center"/>
            <w:hideMark/>
          </w:tcPr>
          <w:p w:rsidR="00A51A62" w:rsidRDefault="00A51A62" w:rsidP="003C3157">
            <w:pPr>
              <w:spacing w:after="0" w:line="240" w:lineRule="auto"/>
              <w:jc w:val="center"/>
              <w:rPr>
                <w:rFonts w:ascii="Times New Roman" w:hAnsi="Times New Roman"/>
                <w:bCs/>
                <w:iCs/>
                <w:color w:val="000000"/>
                <w:sz w:val="20"/>
                <w:szCs w:val="20"/>
              </w:rPr>
            </w:pPr>
            <w:r>
              <w:rPr>
                <w:rFonts w:ascii="Times New Roman" w:hAnsi="Times New Roman"/>
                <w:bCs/>
                <w:iCs/>
                <w:color w:val="000000"/>
                <w:sz w:val="20"/>
                <w:szCs w:val="20"/>
              </w:rPr>
              <w:t>{48 ft.}</w:t>
            </w:r>
          </w:p>
        </w:tc>
      </w:tr>
      <w:tr w:rsidR="00A51A62" w:rsidTr="003C3157">
        <w:trPr>
          <w:trHeight w:val="804"/>
        </w:trPr>
        <w:tc>
          <w:tcPr>
            <w:tcW w:w="0" w:type="auto"/>
            <w:vMerge/>
            <w:tcBorders>
              <w:top w:val="nil"/>
              <w:left w:val="single" w:sz="8" w:space="0" w:color="000000"/>
              <w:bottom w:val="single" w:sz="8" w:space="0" w:color="000000"/>
              <w:right w:val="single" w:sz="8" w:space="0" w:color="000000"/>
            </w:tcBorders>
            <w:vAlign w:val="center"/>
            <w:hideMark/>
          </w:tcPr>
          <w:p w:rsidR="00A51A62" w:rsidRDefault="00A51A62" w:rsidP="003C3157">
            <w:pPr>
              <w:spacing w:after="0" w:line="240" w:lineRule="auto"/>
              <w:rPr>
                <w:rFonts w:ascii="Times New Roman" w:hAnsi="Times New Roman"/>
                <w:color w:val="000000"/>
                <w:sz w:val="18"/>
                <w:szCs w:val="18"/>
              </w:rPr>
            </w:pPr>
          </w:p>
        </w:tc>
        <w:tc>
          <w:tcPr>
            <w:tcW w:w="931" w:type="dxa"/>
            <w:tcBorders>
              <w:top w:val="nil"/>
              <w:left w:val="nil"/>
              <w:bottom w:val="single" w:sz="8" w:space="0" w:color="000000"/>
              <w:right w:val="single" w:sz="8" w:space="0" w:color="000000"/>
            </w:tcBorders>
            <w:vAlign w:val="center"/>
            <w:hideMark/>
          </w:tcPr>
          <w:p w:rsidR="00A51A62" w:rsidRDefault="00A51A62" w:rsidP="003C3157">
            <w:pPr>
              <w:spacing w:after="0" w:line="240" w:lineRule="auto"/>
              <w:rPr>
                <w:rFonts w:ascii="Times New Roman" w:hAnsi="Times New Roman"/>
                <w:color w:val="000000"/>
                <w:sz w:val="18"/>
                <w:szCs w:val="18"/>
              </w:rPr>
            </w:pPr>
            <w:r>
              <w:rPr>
                <w:rFonts w:ascii="Times New Roman" w:hAnsi="Times New Roman"/>
                <w:color w:val="000000"/>
                <w:sz w:val="18"/>
                <w:szCs w:val="18"/>
              </w:rPr>
              <w:t>Low Income</w:t>
            </w:r>
          </w:p>
        </w:tc>
        <w:tc>
          <w:tcPr>
            <w:tcW w:w="725" w:type="dxa"/>
            <w:tcBorders>
              <w:top w:val="nil"/>
              <w:left w:val="nil"/>
              <w:bottom w:val="single" w:sz="8" w:space="0" w:color="000000"/>
              <w:right w:val="single" w:sz="8" w:space="0" w:color="000000"/>
            </w:tcBorders>
            <w:vAlign w:val="center"/>
            <w:hideMark/>
          </w:tcPr>
          <w:p w:rsidR="00A51A62" w:rsidRDefault="00A51A62" w:rsidP="003C3157">
            <w:pPr>
              <w:spacing w:after="0" w:line="240" w:lineRule="auto"/>
              <w:jc w:val="center"/>
              <w:rPr>
                <w:rFonts w:ascii="Times New Roman" w:hAnsi="Times New Roman"/>
                <w:bCs/>
                <w:i/>
                <w:iCs/>
                <w:color w:val="000000"/>
                <w:sz w:val="20"/>
                <w:szCs w:val="20"/>
              </w:rPr>
            </w:pPr>
            <w:r>
              <w:rPr>
                <w:rFonts w:ascii="Times New Roman" w:hAnsi="Times New Roman"/>
                <w:bCs/>
                <w:i/>
                <w:iCs/>
                <w:color w:val="000000"/>
                <w:sz w:val="20"/>
                <w:szCs w:val="20"/>
              </w:rPr>
              <w:t>50%</w:t>
            </w:r>
          </w:p>
        </w:tc>
        <w:tc>
          <w:tcPr>
            <w:tcW w:w="752" w:type="dxa"/>
            <w:tcBorders>
              <w:top w:val="nil"/>
              <w:left w:val="nil"/>
              <w:bottom w:val="single" w:sz="8" w:space="0" w:color="000000"/>
              <w:right w:val="single" w:sz="8" w:space="0" w:color="000000"/>
            </w:tcBorders>
            <w:vAlign w:val="center"/>
            <w:hideMark/>
          </w:tcPr>
          <w:p w:rsidR="00A51A62" w:rsidRDefault="00A51A62" w:rsidP="003C3157">
            <w:pPr>
              <w:spacing w:after="0" w:line="240" w:lineRule="auto"/>
              <w:jc w:val="center"/>
              <w:rPr>
                <w:rFonts w:ascii="Times New Roman" w:hAnsi="Times New Roman"/>
                <w:bCs/>
                <w:i/>
                <w:iCs/>
                <w:color w:val="000000"/>
                <w:sz w:val="20"/>
                <w:szCs w:val="20"/>
              </w:rPr>
            </w:pPr>
            <w:r>
              <w:rPr>
                <w:rFonts w:ascii="Times New Roman" w:hAnsi="Times New Roman"/>
                <w:bCs/>
                <w:i/>
                <w:iCs/>
                <w:color w:val="000000"/>
                <w:sz w:val="20"/>
                <w:szCs w:val="20"/>
              </w:rPr>
              <w:t>75%</w:t>
            </w:r>
          </w:p>
        </w:tc>
        <w:tc>
          <w:tcPr>
            <w:tcW w:w="1048" w:type="dxa"/>
            <w:tcBorders>
              <w:top w:val="nil"/>
              <w:left w:val="nil"/>
              <w:bottom w:val="single" w:sz="8" w:space="0" w:color="000000"/>
              <w:right w:val="single" w:sz="8" w:space="0" w:color="000000"/>
            </w:tcBorders>
            <w:vAlign w:val="center"/>
            <w:hideMark/>
          </w:tcPr>
          <w:p w:rsidR="00A51A62" w:rsidRDefault="00A51A62" w:rsidP="003C3157">
            <w:pPr>
              <w:spacing w:after="0" w:line="240" w:lineRule="auto"/>
              <w:jc w:val="center"/>
              <w:rPr>
                <w:rFonts w:ascii="Times New Roman" w:hAnsi="Times New Roman"/>
                <w:bCs/>
                <w:i/>
                <w:iCs/>
                <w:color w:val="000000"/>
                <w:sz w:val="20"/>
                <w:szCs w:val="20"/>
              </w:rPr>
            </w:pPr>
            <w:r>
              <w:rPr>
                <w:rFonts w:ascii="Times New Roman" w:hAnsi="Times New Roman"/>
                <w:bCs/>
                <w:i/>
                <w:iCs/>
                <w:color w:val="000000"/>
                <w:sz w:val="20"/>
                <w:szCs w:val="20"/>
              </w:rPr>
              <w:t>175%</w:t>
            </w:r>
          </w:p>
        </w:tc>
        <w:tc>
          <w:tcPr>
            <w:tcW w:w="753" w:type="dxa"/>
            <w:tcBorders>
              <w:top w:val="nil"/>
              <w:left w:val="nil"/>
              <w:bottom w:val="single" w:sz="8" w:space="0" w:color="000000"/>
              <w:right w:val="single" w:sz="8" w:space="0" w:color="000000"/>
            </w:tcBorders>
            <w:vAlign w:val="center"/>
            <w:hideMark/>
          </w:tcPr>
          <w:p w:rsidR="00A51A62" w:rsidRDefault="00A51A62" w:rsidP="003C3157">
            <w:pPr>
              <w:spacing w:after="0" w:line="240" w:lineRule="auto"/>
              <w:jc w:val="center"/>
              <w:rPr>
                <w:rFonts w:ascii="Times New Roman" w:hAnsi="Times New Roman"/>
                <w:bCs/>
                <w:i/>
                <w:iCs/>
                <w:color w:val="000000"/>
                <w:sz w:val="20"/>
                <w:szCs w:val="20"/>
              </w:rPr>
            </w:pPr>
            <w:r>
              <w:rPr>
                <w:rFonts w:ascii="Times New Roman" w:hAnsi="Times New Roman"/>
                <w:bCs/>
                <w:i/>
                <w:iCs/>
                <w:color w:val="000000"/>
                <w:sz w:val="20"/>
                <w:szCs w:val="20"/>
              </w:rPr>
              <w:t>125%</w:t>
            </w:r>
          </w:p>
        </w:tc>
        <w:tc>
          <w:tcPr>
            <w:tcW w:w="753" w:type="dxa"/>
            <w:tcBorders>
              <w:top w:val="nil"/>
              <w:left w:val="nil"/>
              <w:bottom w:val="single" w:sz="8" w:space="0" w:color="000000"/>
              <w:right w:val="single" w:sz="8" w:space="0" w:color="000000"/>
            </w:tcBorders>
            <w:vAlign w:val="center"/>
            <w:hideMark/>
          </w:tcPr>
          <w:p w:rsidR="00A51A62" w:rsidRDefault="00A51A62" w:rsidP="003C3157">
            <w:pPr>
              <w:spacing w:after="0" w:line="240" w:lineRule="auto"/>
              <w:jc w:val="center"/>
              <w:rPr>
                <w:rFonts w:ascii="Times New Roman" w:hAnsi="Times New Roman"/>
                <w:bCs/>
                <w:i/>
                <w:iCs/>
                <w:color w:val="000000"/>
                <w:sz w:val="20"/>
                <w:szCs w:val="20"/>
              </w:rPr>
            </w:pPr>
            <w:r>
              <w:rPr>
                <w:rFonts w:ascii="Times New Roman" w:hAnsi="Times New Roman"/>
                <w:bCs/>
                <w:i/>
                <w:iCs/>
                <w:color w:val="000000"/>
                <w:sz w:val="20"/>
                <w:szCs w:val="20"/>
              </w:rPr>
              <w:t>250%</w:t>
            </w:r>
          </w:p>
        </w:tc>
        <w:tc>
          <w:tcPr>
            <w:tcW w:w="763" w:type="dxa"/>
            <w:tcBorders>
              <w:top w:val="nil"/>
              <w:left w:val="nil"/>
              <w:bottom w:val="single" w:sz="8" w:space="0" w:color="000000"/>
              <w:right w:val="single" w:sz="8" w:space="0" w:color="000000"/>
            </w:tcBorders>
            <w:vAlign w:val="center"/>
            <w:hideMark/>
          </w:tcPr>
          <w:p w:rsidR="00A51A62" w:rsidRDefault="00A51A62" w:rsidP="003C3157">
            <w:pPr>
              <w:spacing w:after="0" w:line="240" w:lineRule="auto"/>
              <w:jc w:val="center"/>
              <w:rPr>
                <w:rFonts w:ascii="Times New Roman" w:hAnsi="Times New Roman"/>
                <w:color w:val="000000"/>
                <w:sz w:val="20"/>
                <w:szCs w:val="20"/>
              </w:rPr>
            </w:pPr>
            <w:r>
              <w:rPr>
                <w:rFonts w:ascii="Times New Roman" w:hAnsi="Times New Roman"/>
                <w:bCs/>
                <w:color w:val="000000"/>
                <w:sz w:val="20"/>
                <w:szCs w:val="20"/>
              </w:rPr>
              <w:t>{N/A}</w:t>
            </w:r>
            <w:r>
              <w:rPr>
                <w:rFonts w:ascii="Times New Roman" w:hAnsi="Times New Roman"/>
                <w:color w:val="000000"/>
                <w:sz w:val="20"/>
                <w:szCs w:val="20"/>
              </w:rPr>
              <w:t xml:space="preserve"> </w:t>
            </w:r>
            <w:r>
              <w:rPr>
                <w:rFonts w:ascii="Times New Roman" w:hAnsi="Times New Roman"/>
                <w:i/>
                <w:iCs/>
                <w:color w:val="000000"/>
                <w:sz w:val="20"/>
                <w:szCs w:val="20"/>
              </w:rPr>
              <w:t>250%</w:t>
            </w:r>
          </w:p>
        </w:tc>
        <w:tc>
          <w:tcPr>
            <w:tcW w:w="896" w:type="dxa"/>
            <w:tcBorders>
              <w:top w:val="nil"/>
              <w:left w:val="nil"/>
              <w:bottom w:val="single" w:sz="8" w:space="0" w:color="000000"/>
              <w:right w:val="single" w:sz="8" w:space="0" w:color="000000"/>
            </w:tcBorders>
            <w:vAlign w:val="center"/>
            <w:hideMark/>
          </w:tcPr>
          <w:p w:rsidR="00A51A62" w:rsidRDefault="00A51A62" w:rsidP="003C315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250%</w:t>
            </w:r>
          </w:p>
        </w:tc>
        <w:tc>
          <w:tcPr>
            <w:tcW w:w="767" w:type="dxa"/>
            <w:tcBorders>
              <w:top w:val="nil"/>
              <w:left w:val="nil"/>
              <w:bottom w:val="single" w:sz="8" w:space="0" w:color="000000"/>
              <w:right w:val="single" w:sz="8" w:space="0" w:color="000000"/>
            </w:tcBorders>
            <w:vAlign w:val="center"/>
            <w:hideMark/>
          </w:tcPr>
          <w:p w:rsidR="00A51A62" w:rsidRDefault="00A51A62" w:rsidP="003C315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{250%}</w:t>
            </w:r>
          </w:p>
          <w:p w:rsidR="00A51A62" w:rsidRDefault="00A51A62" w:rsidP="003C3157">
            <w:pPr>
              <w:spacing w:after="0" w:line="240" w:lineRule="auto"/>
              <w:jc w:val="center"/>
              <w:rPr>
                <w:rFonts w:ascii="Times New Roman" w:hAnsi="Times New Roman"/>
                <w:color w:val="000000"/>
                <w:sz w:val="20"/>
                <w:szCs w:val="20"/>
              </w:rPr>
            </w:pPr>
            <w:r>
              <w:rPr>
                <w:rFonts w:ascii="Times New Roman" w:hAnsi="Times New Roman"/>
                <w:i/>
                <w:color w:val="000000"/>
                <w:sz w:val="20"/>
                <w:szCs w:val="20"/>
              </w:rPr>
              <w:t>300%</w:t>
            </w:r>
          </w:p>
        </w:tc>
        <w:tc>
          <w:tcPr>
            <w:tcW w:w="754" w:type="dxa"/>
            <w:tcBorders>
              <w:top w:val="nil"/>
              <w:left w:val="nil"/>
              <w:bottom w:val="single" w:sz="8" w:space="0" w:color="000000"/>
              <w:right w:val="single" w:sz="8" w:space="0" w:color="000000"/>
            </w:tcBorders>
            <w:vAlign w:val="center"/>
            <w:hideMark/>
          </w:tcPr>
          <w:p w:rsidR="00A51A62" w:rsidRDefault="00A51A62" w:rsidP="003C3157">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250%</w:t>
            </w:r>
          </w:p>
        </w:tc>
        <w:tc>
          <w:tcPr>
            <w:tcW w:w="754" w:type="dxa"/>
            <w:tcBorders>
              <w:top w:val="nil"/>
              <w:left w:val="nil"/>
              <w:bottom w:val="single" w:sz="8" w:space="0" w:color="000000"/>
              <w:right w:val="single" w:sz="8" w:space="0" w:color="000000"/>
            </w:tcBorders>
            <w:vAlign w:val="center"/>
            <w:hideMark/>
          </w:tcPr>
          <w:p w:rsidR="00A51A62" w:rsidRDefault="00A51A62" w:rsidP="003C3157">
            <w:pPr>
              <w:spacing w:after="0" w:line="240" w:lineRule="auto"/>
              <w:jc w:val="center"/>
              <w:rPr>
                <w:rFonts w:ascii="Times New Roman" w:hAnsi="Times New Roman"/>
                <w:color w:val="000000"/>
                <w:sz w:val="18"/>
                <w:szCs w:val="18"/>
              </w:rPr>
            </w:pPr>
            <w:r>
              <w:rPr>
                <w:rFonts w:ascii="Times New Roman" w:hAnsi="Times New Roman"/>
                <w:color w:val="000000"/>
                <w:sz w:val="18"/>
                <w:szCs w:val="18"/>
              </w:rPr>
              <w:t>400%</w:t>
            </w:r>
          </w:p>
        </w:tc>
        <w:tc>
          <w:tcPr>
            <w:tcW w:w="772" w:type="dxa"/>
            <w:tcBorders>
              <w:top w:val="nil"/>
              <w:left w:val="nil"/>
              <w:bottom w:val="single" w:sz="8" w:space="0" w:color="000000"/>
              <w:right w:val="single" w:sz="8" w:space="0" w:color="000000"/>
            </w:tcBorders>
            <w:vAlign w:val="center"/>
            <w:hideMark/>
          </w:tcPr>
          <w:p w:rsidR="00A51A62" w:rsidRDefault="00A51A62" w:rsidP="003C3157">
            <w:pPr>
              <w:spacing w:after="0" w:line="240" w:lineRule="auto"/>
              <w:jc w:val="center"/>
              <w:rPr>
                <w:rFonts w:ascii="Times New Roman" w:hAnsi="Times New Roman"/>
                <w:bCs/>
                <w:iCs/>
                <w:color w:val="000000"/>
                <w:sz w:val="20"/>
                <w:szCs w:val="20"/>
              </w:rPr>
            </w:pPr>
            <w:r>
              <w:rPr>
                <w:rFonts w:ascii="Times New Roman" w:hAnsi="Times New Roman"/>
                <w:bCs/>
                <w:iCs/>
                <w:color w:val="000000"/>
                <w:sz w:val="20"/>
                <w:szCs w:val="20"/>
              </w:rPr>
              <w:t>{60 ft.}</w:t>
            </w:r>
          </w:p>
        </w:tc>
        <w:tc>
          <w:tcPr>
            <w:tcW w:w="762" w:type="dxa"/>
            <w:tcBorders>
              <w:top w:val="nil"/>
              <w:left w:val="nil"/>
              <w:bottom w:val="single" w:sz="8" w:space="0" w:color="000000"/>
              <w:right w:val="single" w:sz="8" w:space="0" w:color="000000"/>
            </w:tcBorders>
            <w:vAlign w:val="center"/>
            <w:hideMark/>
          </w:tcPr>
          <w:p w:rsidR="00A51A62" w:rsidRDefault="00A51A62" w:rsidP="003C3157">
            <w:pPr>
              <w:spacing w:after="0" w:line="240" w:lineRule="auto"/>
              <w:jc w:val="center"/>
              <w:rPr>
                <w:rFonts w:ascii="Times New Roman" w:hAnsi="Times New Roman"/>
                <w:bCs/>
                <w:iCs/>
                <w:color w:val="000000"/>
                <w:sz w:val="20"/>
                <w:szCs w:val="20"/>
              </w:rPr>
            </w:pPr>
            <w:r>
              <w:rPr>
                <w:rFonts w:ascii="Times New Roman" w:hAnsi="Times New Roman"/>
                <w:bCs/>
                <w:iCs/>
                <w:color w:val="000000"/>
                <w:sz w:val="20"/>
                <w:szCs w:val="20"/>
              </w:rPr>
              <w:t>{60 ft.}</w:t>
            </w:r>
          </w:p>
        </w:tc>
      </w:tr>
    </w:tbl>
    <w:p w:rsidR="00A51A62" w:rsidRDefault="00A51A62" w:rsidP="00A51A62">
      <w:pPr>
        <w:spacing w:after="0" w:line="240" w:lineRule="auto"/>
        <w:rPr>
          <w:rFonts w:ascii="Times New Roman" w:hAnsi="Times New Roman"/>
          <w:sz w:val="24"/>
          <w:szCs w:val="24"/>
        </w:rPr>
      </w:pPr>
    </w:p>
    <w:p w:rsidR="00A51A62" w:rsidRDefault="00A51A62" w:rsidP="00A51A62">
      <w:pPr>
        <w:spacing w:after="0" w:line="300" w:lineRule="exact"/>
        <w:ind w:left="720" w:firstLine="720"/>
        <w:rPr>
          <w:rFonts w:ascii="Times New Roman" w:hAnsi="Times New Roman"/>
          <w:strike/>
          <w:sz w:val="24"/>
          <w:szCs w:val="24"/>
        </w:rPr>
      </w:pPr>
    </w:p>
    <w:tbl>
      <w:tblPr>
        <w:tblW w:w="11340" w:type="dxa"/>
        <w:tblInd w:w="-995" w:type="dxa"/>
        <w:tblLook w:val="04A0" w:firstRow="1" w:lastRow="0" w:firstColumn="1" w:lastColumn="0" w:noHBand="0" w:noVBand="1"/>
      </w:tblPr>
      <w:tblGrid>
        <w:gridCol w:w="2475"/>
        <w:gridCol w:w="2140"/>
        <w:gridCol w:w="1595"/>
        <w:gridCol w:w="1800"/>
        <w:gridCol w:w="3330"/>
      </w:tblGrid>
      <w:tr w:rsidR="00A51A62" w:rsidTr="003C3157">
        <w:trPr>
          <w:trHeight w:val="339"/>
        </w:trPr>
        <w:tc>
          <w:tcPr>
            <w:tcW w:w="4615" w:type="dxa"/>
            <w:gridSpan w:val="2"/>
            <w:vMerge w:val="restart"/>
            <w:tcBorders>
              <w:top w:val="single" w:sz="4" w:space="0" w:color="000000"/>
              <w:left w:val="single" w:sz="4" w:space="0" w:color="000000"/>
              <w:bottom w:val="single" w:sz="4" w:space="0" w:color="000000"/>
              <w:right w:val="single" w:sz="4" w:space="0" w:color="000000"/>
            </w:tcBorders>
            <w:shd w:val="clear" w:color="auto" w:fill="CCCCCC"/>
            <w:vAlign w:val="bottom"/>
            <w:hideMark/>
          </w:tcPr>
          <w:p w:rsidR="00A51A62" w:rsidRDefault="00A51A62" w:rsidP="003C3157">
            <w:pPr>
              <w:spacing w:after="0" w:line="240" w:lineRule="auto"/>
            </w:pPr>
          </w:p>
        </w:tc>
        <w:tc>
          <w:tcPr>
            <w:tcW w:w="6725" w:type="dxa"/>
            <w:gridSpan w:val="3"/>
            <w:tcBorders>
              <w:top w:val="single" w:sz="4" w:space="0" w:color="000000"/>
              <w:left w:val="nil"/>
              <w:bottom w:val="single" w:sz="4" w:space="0" w:color="000000"/>
              <w:right w:val="single" w:sz="4" w:space="0" w:color="000000"/>
            </w:tcBorders>
            <w:shd w:val="clear" w:color="auto" w:fill="CCCCCC"/>
            <w:hideMark/>
          </w:tcPr>
          <w:p w:rsidR="00A51A62" w:rsidRDefault="00A51A62" w:rsidP="003C3157">
            <w:pPr>
              <w:spacing w:after="0" w:line="240" w:lineRule="auto"/>
              <w:rPr>
                <w:rFonts w:ascii="Times New Roman" w:hAnsi="Times New Roman"/>
                <w:bCs/>
                <w:i/>
              </w:rPr>
            </w:pPr>
            <w:r>
              <w:rPr>
                <w:rFonts w:ascii="Times New Roman" w:hAnsi="Times New Roman"/>
                <w:bCs/>
                <w:i/>
              </w:rPr>
              <w:t>Additional Building Height</w:t>
            </w:r>
          </w:p>
        </w:tc>
      </w:tr>
      <w:tr w:rsidR="00A51A62" w:rsidTr="003C3157">
        <w:trPr>
          <w:trHeight w:val="339"/>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A51A62" w:rsidRDefault="00A51A62" w:rsidP="003C3157">
            <w:pPr>
              <w:spacing w:after="0" w:line="240" w:lineRule="auto"/>
            </w:pPr>
          </w:p>
        </w:tc>
        <w:tc>
          <w:tcPr>
            <w:tcW w:w="1595" w:type="dxa"/>
            <w:tcBorders>
              <w:top w:val="nil"/>
              <w:left w:val="nil"/>
              <w:bottom w:val="single" w:sz="4" w:space="0" w:color="000000"/>
              <w:right w:val="single" w:sz="4" w:space="0" w:color="000000"/>
            </w:tcBorders>
            <w:shd w:val="clear" w:color="auto" w:fill="CCCCCC"/>
            <w:hideMark/>
          </w:tcPr>
          <w:p w:rsidR="00A51A62" w:rsidRDefault="00A51A62" w:rsidP="003C3157">
            <w:pPr>
              <w:spacing w:after="0" w:line="240" w:lineRule="auto"/>
              <w:jc w:val="center"/>
              <w:rPr>
                <w:rFonts w:ascii="Times New Roman" w:hAnsi="Times New Roman"/>
                <w:bCs/>
                <w:i/>
              </w:rPr>
            </w:pPr>
            <w:r>
              <w:rPr>
                <w:rFonts w:ascii="Times New Roman" w:hAnsi="Times New Roman"/>
                <w:bCs/>
                <w:i/>
              </w:rPr>
              <w:t>/CDO</w:t>
            </w:r>
          </w:p>
        </w:tc>
        <w:tc>
          <w:tcPr>
            <w:tcW w:w="1800" w:type="dxa"/>
            <w:tcBorders>
              <w:top w:val="nil"/>
              <w:left w:val="nil"/>
              <w:bottom w:val="single" w:sz="4" w:space="0" w:color="000000"/>
              <w:right w:val="single" w:sz="4" w:space="0" w:color="000000"/>
            </w:tcBorders>
            <w:shd w:val="clear" w:color="auto" w:fill="CCCCCC"/>
            <w:hideMark/>
          </w:tcPr>
          <w:p w:rsidR="00A51A62" w:rsidRDefault="00A51A62" w:rsidP="003C3157">
            <w:pPr>
              <w:spacing w:after="0" w:line="240" w:lineRule="auto"/>
              <w:jc w:val="center"/>
              <w:rPr>
                <w:rFonts w:ascii="Times New Roman" w:hAnsi="Times New Roman"/>
                <w:bCs/>
                <w:i/>
              </w:rPr>
            </w:pPr>
            <w:r>
              <w:rPr>
                <w:rFonts w:ascii="Times New Roman" w:hAnsi="Times New Roman"/>
                <w:bCs/>
                <w:i/>
              </w:rPr>
              <w:t>/ECO</w:t>
            </w:r>
          </w:p>
        </w:tc>
        <w:tc>
          <w:tcPr>
            <w:tcW w:w="3330" w:type="dxa"/>
            <w:tcBorders>
              <w:top w:val="nil"/>
              <w:left w:val="nil"/>
              <w:bottom w:val="single" w:sz="4" w:space="0" w:color="000000"/>
              <w:right w:val="single" w:sz="4" w:space="0" w:color="000000"/>
            </w:tcBorders>
            <w:shd w:val="clear" w:color="auto" w:fill="CCCCCC"/>
            <w:hideMark/>
          </w:tcPr>
          <w:p w:rsidR="00A51A62" w:rsidRDefault="00A51A62" w:rsidP="003C3157">
            <w:pPr>
              <w:spacing w:after="0" w:line="240" w:lineRule="auto"/>
              <w:jc w:val="center"/>
              <w:rPr>
                <w:rFonts w:ascii="Times New Roman" w:hAnsi="Times New Roman"/>
                <w:bCs/>
                <w:i/>
                <w:iCs/>
              </w:rPr>
            </w:pPr>
            <w:r>
              <w:rPr>
                <w:rFonts w:ascii="Times New Roman" w:hAnsi="Times New Roman"/>
                <w:bCs/>
                <w:i/>
                <w:iCs/>
              </w:rPr>
              <w:t>RM-1, CMX-1, CMX-2, CMX-2.5</w:t>
            </w:r>
          </w:p>
        </w:tc>
      </w:tr>
      <w:tr w:rsidR="00A51A62" w:rsidTr="003C3157">
        <w:trPr>
          <w:trHeight w:val="339"/>
        </w:trPr>
        <w:tc>
          <w:tcPr>
            <w:tcW w:w="2475" w:type="dxa"/>
            <w:vMerge w:val="restart"/>
            <w:tcBorders>
              <w:top w:val="nil"/>
              <w:left w:val="single" w:sz="4" w:space="0" w:color="000000"/>
              <w:bottom w:val="single" w:sz="4" w:space="0" w:color="000000"/>
              <w:right w:val="single" w:sz="4" w:space="0" w:color="000000"/>
            </w:tcBorders>
            <w:hideMark/>
          </w:tcPr>
          <w:p w:rsidR="00A51A62" w:rsidRDefault="00A51A62" w:rsidP="003C3157">
            <w:pPr>
              <w:spacing w:after="0" w:line="240" w:lineRule="auto"/>
              <w:rPr>
                <w:rFonts w:ascii="Times New Roman" w:hAnsi="Times New Roman"/>
                <w:i/>
              </w:rPr>
            </w:pPr>
            <w:r>
              <w:rPr>
                <w:rFonts w:ascii="Times New Roman" w:hAnsi="Times New Roman"/>
                <w:i/>
              </w:rPr>
              <w:t>Mixed Income Housing (§ 14-702(7))</w:t>
            </w:r>
          </w:p>
        </w:tc>
        <w:tc>
          <w:tcPr>
            <w:tcW w:w="2140" w:type="dxa"/>
            <w:tcBorders>
              <w:top w:val="nil"/>
              <w:left w:val="nil"/>
              <w:bottom w:val="single" w:sz="4" w:space="0" w:color="000000"/>
              <w:right w:val="single" w:sz="4" w:space="0" w:color="000000"/>
            </w:tcBorders>
            <w:hideMark/>
          </w:tcPr>
          <w:p w:rsidR="00A51A62" w:rsidRDefault="00A51A62" w:rsidP="003C3157">
            <w:pPr>
              <w:spacing w:after="0" w:line="240" w:lineRule="auto"/>
              <w:rPr>
                <w:rFonts w:ascii="Times New Roman" w:hAnsi="Times New Roman"/>
                <w:i/>
              </w:rPr>
            </w:pPr>
            <w:r>
              <w:rPr>
                <w:rFonts w:ascii="Times New Roman" w:hAnsi="Times New Roman"/>
                <w:i/>
              </w:rPr>
              <w:t>Moderate Income</w:t>
            </w:r>
          </w:p>
        </w:tc>
        <w:tc>
          <w:tcPr>
            <w:tcW w:w="1595" w:type="dxa"/>
            <w:tcBorders>
              <w:top w:val="nil"/>
              <w:left w:val="nil"/>
              <w:bottom w:val="single" w:sz="4" w:space="0" w:color="000000"/>
              <w:right w:val="single" w:sz="4" w:space="0" w:color="000000"/>
            </w:tcBorders>
            <w:hideMark/>
          </w:tcPr>
          <w:p w:rsidR="00A51A62" w:rsidRDefault="00A51A62" w:rsidP="003C3157">
            <w:pPr>
              <w:spacing w:after="0" w:line="240" w:lineRule="auto"/>
              <w:jc w:val="center"/>
              <w:rPr>
                <w:rFonts w:ascii="Times New Roman" w:hAnsi="Times New Roman"/>
                <w:i/>
              </w:rPr>
            </w:pPr>
            <w:r>
              <w:rPr>
                <w:rFonts w:ascii="Times New Roman" w:hAnsi="Times New Roman"/>
                <w:i/>
              </w:rPr>
              <w:t>48 ft.</w:t>
            </w:r>
          </w:p>
        </w:tc>
        <w:tc>
          <w:tcPr>
            <w:tcW w:w="1800" w:type="dxa"/>
            <w:tcBorders>
              <w:top w:val="nil"/>
              <w:left w:val="nil"/>
              <w:bottom w:val="single" w:sz="4" w:space="0" w:color="000000"/>
              <w:right w:val="single" w:sz="4" w:space="0" w:color="000000"/>
            </w:tcBorders>
            <w:hideMark/>
          </w:tcPr>
          <w:p w:rsidR="00A51A62" w:rsidRDefault="00A51A62" w:rsidP="003C3157">
            <w:pPr>
              <w:spacing w:after="0" w:line="240" w:lineRule="auto"/>
              <w:jc w:val="center"/>
              <w:rPr>
                <w:rFonts w:ascii="Times New Roman" w:hAnsi="Times New Roman"/>
                <w:i/>
              </w:rPr>
            </w:pPr>
            <w:r>
              <w:rPr>
                <w:rFonts w:ascii="Times New Roman" w:hAnsi="Times New Roman"/>
                <w:i/>
              </w:rPr>
              <w:t>48 ft.</w:t>
            </w:r>
          </w:p>
        </w:tc>
        <w:tc>
          <w:tcPr>
            <w:tcW w:w="3330" w:type="dxa"/>
            <w:tcBorders>
              <w:top w:val="nil"/>
              <w:left w:val="nil"/>
              <w:bottom w:val="single" w:sz="4" w:space="0" w:color="000000"/>
              <w:right w:val="single" w:sz="4" w:space="0" w:color="000000"/>
            </w:tcBorders>
            <w:hideMark/>
          </w:tcPr>
          <w:p w:rsidR="00A51A62" w:rsidRDefault="00A51A62" w:rsidP="003C3157">
            <w:pPr>
              <w:spacing w:after="0" w:line="240" w:lineRule="auto"/>
              <w:jc w:val="center"/>
              <w:rPr>
                <w:rFonts w:ascii="Times New Roman" w:hAnsi="Times New Roman"/>
                <w:bCs/>
                <w:i/>
                <w:iCs/>
              </w:rPr>
            </w:pPr>
            <w:r>
              <w:rPr>
                <w:rFonts w:ascii="Times New Roman" w:hAnsi="Times New Roman"/>
                <w:bCs/>
                <w:i/>
                <w:iCs/>
              </w:rPr>
              <w:t>7 ft.</w:t>
            </w:r>
          </w:p>
        </w:tc>
      </w:tr>
      <w:tr w:rsidR="00A51A62" w:rsidTr="003C3157">
        <w:trPr>
          <w:trHeight w:val="339"/>
        </w:trPr>
        <w:tc>
          <w:tcPr>
            <w:tcW w:w="0" w:type="auto"/>
            <w:vMerge/>
            <w:tcBorders>
              <w:top w:val="nil"/>
              <w:left w:val="single" w:sz="4" w:space="0" w:color="000000"/>
              <w:bottom w:val="single" w:sz="4" w:space="0" w:color="000000"/>
              <w:right w:val="single" w:sz="4" w:space="0" w:color="000000"/>
            </w:tcBorders>
            <w:vAlign w:val="center"/>
            <w:hideMark/>
          </w:tcPr>
          <w:p w:rsidR="00A51A62" w:rsidRDefault="00A51A62" w:rsidP="003C3157">
            <w:pPr>
              <w:spacing w:after="0" w:line="240" w:lineRule="auto"/>
              <w:rPr>
                <w:rFonts w:ascii="Times New Roman" w:hAnsi="Times New Roman"/>
                <w:i/>
              </w:rPr>
            </w:pPr>
          </w:p>
        </w:tc>
        <w:tc>
          <w:tcPr>
            <w:tcW w:w="2140" w:type="dxa"/>
            <w:tcBorders>
              <w:top w:val="nil"/>
              <w:left w:val="nil"/>
              <w:bottom w:val="single" w:sz="4" w:space="0" w:color="000000"/>
              <w:right w:val="single" w:sz="4" w:space="0" w:color="000000"/>
            </w:tcBorders>
            <w:hideMark/>
          </w:tcPr>
          <w:p w:rsidR="00A51A62" w:rsidRDefault="00A51A62" w:rsidP="003C3157">
            <w:pPr>
              <w:spacing w:after="0" w:line="240" w:lineRule="auto"/>
              <w:rPr>
                <w:rFonts w:ascii="Times New Roman" w:hAnsi="Times New Roman"/>
                <w:i/>
              </w:rPr>
            </w:pPr>
            <w:r>
              <w:rPr>
                <w:rFonts w:ascii="Times New Roman" w:hAnsi="Times New Roman"/>
                <w:i/>
              </w:rPr>
              <w:t>Low Income</w:t>
            </w:r>
          </w:p>
        </w:tc>
        <w:tc>
          <w:tcPr>
            <w:tcW w:w="1595" w:type="dxa"/>
            <w:tcBorders>
              <w:top w:val="nil"/>
              <w:left w:val="nil"/>
              <w:bottom w:val="single" w:sz="4" w:space="0" w:color="000000"/>
              <w:right w:val="single" w:sz="4" w:space="0" w:color="000000"/>
            </w:tcBorders>
            <w:hideMark/>
          </w:tcPr>
          <w:p w:rsidR="00A51A62" w:rsidRDefault="00A51A62" w:rsidP="003C3157">
            <w:pPr>
              <w:spacing w:after="0" w:line="240" w:lineRule="auto"/>
              <w:jc w:val="center"/>
              <w:rPr>
                <w:rFonts w:ascii="Times New Roman" w:hAnsi="Times New Roman"/>
                <w:i/>
              </w:rPr>
            </w:pPr>
            <w:r>
              <w:rPr>
                <w:rFonts w:ascii="Times New Roman" w:hAnsi="Times New Roman"/>
                <w:i/>
              </w:rPr>
              <w:t>60 ft.</w:t>
            </w:r>
          </w:p>
        </w:tc>
        <w:tc>
          <w:tcPr>
            <w:tcW w:w="1800" w:type="dxa"/>
            <w:tcBorders>
              <w:top w:val="nil"/>
              <w:left w:val="nil"/>
              <w:bottom w:val="single" w:sz="4" w:space="0" w:color="000000"/>
              <w:right w:val="single" w:sz="4" w:space="0" w:color="000000"/>
            </w:tcBorders>
            <w:hideMark/>
          </w:tcPr>
          <w:p w:rsidR="00A51A62" w:rsidRDefault="00A51A62" w:rsidP="003C3157">
            <w:pPr>
              <w:spacing w:after="0" w:line="240" w:lineRule="auto"/>
              <w:jc w:val="center"/>
              <w:rPr>
                <w:rFonts w:ascii="Times New Roman" w:hAnsi="Times New Roman"/>
                <w:i/>
              </w:rPr>
            </w:pPr>
            <w:r>
              <w:rPr>
                <w:rFonts w:ascii="Times New Roman" w:hAnsi="Times New Roman"/>
                <w:i/>
              </w:rPr>
              <w:t>60 ft.</w:t>
            </w:r>
          </w:p>
        </w:tc>
        <w:tc>
          <w:tcPr>
            <w:tcW w:w="3330" w:type="dxa"/>
            <w:tcBorders>
              <w:top w:val="nil"/>
              <w:left w:val="nil"/>
              <w:bottom w:val="single" w:sz="4" w:space="0" w:color="000000"/>
              <w:right w:val="single" w:sz="4" w:space="0" w:color="000000"/>
            </w:tcBorders>
            <w:hideMark/>
          </w:tcPr>
          <w:p w:rsidR="00A51A62" w:rsidRDefault="00A51A62" w:rsidP="003C3157">
            <w:pPr>
              <w:spacing w:after="0" w:line="240" w:lineRule="auto"/>
              <w:jc w:val="center"/>
              <w:rPr>
                <w:rFonts w:ascii="Times New Roman" w:hAnsi="Times New Roman"/>
                <w:bCs/>
                <w:i/>
                <w:iCs/>
              </w:rPr>
            </w:pPr>
            <w:r>
              <w:rPr>
                <w:rFonts w:ascii="Times New Roman" w:hAnsi="Times New Roman"/>
                <w:bCs/>
                <w:i/>
                <w:iCs/>
              </w:rPr>
              <w:t xml:space="preserve">7 ft. </w:t>
            </w:r>
          </w:p>
        </w:tc>
      </w:tr>
    </w:tbl>
    <w:p w:rsidR="00A51A62" w:rsidRDefault="00A51A62" w:rsidP="00A51A62">
      <w:pPr>
        <w:spacing w:after="0" w:line="300" w:lineRule="exact"/>
        <w:rPr>
          <w:rFonts w:ascii="Times New Roman" w:hAnsi="Times New Roman"/>
          <w:strike/>
          <w:sz w:val="24"/>
          <w:szCs w:val="24"/>
        </w:rPr>
      </w:pPr>
    </w:p>
    <w:tbl>
      <w:tblPr>
        <w:tblW w:w="11354" w:type="dxa"/>
        <w:tblInd w:w="-1000" w:type="dxa"/>
        <w:tblLook w:val="04A0" w:firstRow="1" w:lastRow="0" w:firstColumn="1" w:lastColumn="0" w:noHBand="0" w:noVBand="1"/>
      </w:tblPr>
      <w:tblGrid>
        <w:gridCol w:w="3620"/>
        <w:gridCol w:w="2261"/>
        <w:gridCol w:w="5473"/>
      </w:tblGrid>
      <w:tr w:rsidR="00A51A62" w:rsidTr="003C3157">
        <w:trPr>
          <w:trHeight w:val="70"/>
        </w:trPr>
        <w:tc>
          <w:tcPr>
            <w:tcW w:w="3620" w:type="dxa"/>
            <w:tcBorders>
              <w:top w:val="single" w:sz="4" w:space="0" w:color="auto"/>
              <w:left w:val="single" w:sz="8" w:space="0" w:color="000000"/>
              <w:bottom w:val="nil"/>
              <w:right w:val="single" w:sz="8" w:space="0" w:color="000000"/>
            </w:tcBorders>
            <w:shd w:val="clear" w:color="auto" w:fill="D9D9D9"/>
            <w:vAlign w:val="center"/>
          </w:tcPr>
          <w:p w:rsidR="00A51A62" w:rsidRDefault="00A51A62" w:rsidP="003C3157">
            <w:pPr>
              <w:spacing w:after="0" w:line="240" w:lineRule="auto"/>
              <w:rPr>
                <w:rFonts w:ascii="Times New Roman" w:hAnsi="Times New Roman"/>
                <w:i/>
                <w:color w:val="000000"/>
                <w:sz w:val="20"/>
                <w:szCs w:val="20"/>
              </w:rPr>
            </w:pPr>
          </w:p>
        </w:tc>
        <w:tc>
          <w:tcPr>
            <w:tcW w:w="2261" w:type="dxa"/>
            <w:tcBorders>
              <w:top w:val="single" w:sz="4" w:space="0" w:color="auto"/>
              <w:left w:val="nil"/>
              <w:bottom w:val="single" w:sz="8" w:space="0" w:color="000000"/>
              <w:right w:val="single" w:sz="8" w:space="0" w:color="000000"/>
            </w:tcBorders>
            <w:shd w:val="clear" w:color="auto" w:fill="D9D9D9"/>
            <w:vAlign w:val="center"/>
          </w:tcPr>
          <w:p w:rsidR="00A51A62" w:rsidRDefault="00A51A62" w:rsidP="003C3157">
            <w:pPr>
              <w:spacing w:after="0" w:line="240" w:lineRule="auto"/>
              <w:rPr>
                <w:rFonts w:ascii="Times New Roman" w:hAnsi="Times New Roman"/>
                <w:i/>
                <w:color w:val="000000"/>
                <w:sz w:val="20"/>
                <w:szCs w:val="20"/>
              </w:rPr>
            </w:pPr>
          </w:p>
        </w:tc>
        <w:tc>
          <w:tcPr>
            <w:tcW w:w="5473" w:type="dxa"/>
            <w:tcBorders>
              <w:top w:val="single" w:sz="4" w:space="0" w:color="auto"/>
              <w:left w:val="nil"/>
              <w:bottom w:val="single" w:sz="8" w:space="0" w:color="000000"/>
              <w:right w:val="single" w:sz="8" w:space="0" w:color="000000"/>
            </w:tcBorders>
            <w:shd w:val="clear" w:color="auto" w:fill="D9D9D9"/>
            <w:vAlign w:val="center"/>
            <w:hideMark/>
          </w:tcPr>
          <w:p w:rsidR="00A51A62" w:rsidRDefault="00A51A62" w:rsidP="003C3157">
            <w:pPr>
              <w:spacing w:after="0" w:line="240" w:lineRule="auto"/>
              <w:jc w:val="center"/>
              <w:rPr>
                <w:rFonts w:ascii="Times New Roman" w:hAnsi="Times New Roman"/>
                <w:bCs/>
                <w:i/>
                <w:color w:val="000000"/>
                <w:sz w:val="24"/>
                <w:szCs w:val="24"/>
              </w:rPr>
            </w:pPr>
            <w:r>
              <w:rPr>
                <w:rFonts w:ascii="Times New Roman" w:hAnsi="Times New Roman"/>
                <w:bCs/>
                <w:i/>
                <w:color w:val="000000"/>
                <w:sz w:val="24"/>
                <w:szCs w:val="24"/>
              </w:rPr>
              <w:t>Housing Unit Density Bonuses</w:t>
            </w:r>
          </w:p>
          <w:p w:rsidR="00A51A62" w:rsidRDefault="00A51A62" w:rsidP="003C3157">
            <w:pPr>
              <w:spacing w:after="0" w:line="240" w:lineRule="auto"/>
              <w:jc w:val="center"/>
              <w:rPr>
                <w:rFonts w:ascii="Times New Roman" w:hAnsi="Times New Roman"/>
                <w:i/>
                <w:color w:val="000000"/>
                <w:sz w:val="24"/>
                <w:szCs w:val="24"/>
              </w:rPr>
            </w:pPr>
            <w:r>
              <w:rPr>
                <w:rFonts w:ascii="Times New Roman" w:hAnsi="Times New Roman"/>
                <w:bCs/>
                <w:i/>
                <w:color w:val="000000"/>
                <w:sz w:val="24"/>
                <w:szCs w:val="24"/>
              </w:rPr>
              <w:t>(RM-1, CMX-1, CMX-2, or CMX-2.5 only)</w:t>
            </w:r>
          </w:p>
        </w:tc>
      </w:tr>
      <w:tr w:rsidR="00A51A62" w:rsidTr="003C3157">
        <w:trPr>
          <w:trHeight w:val="70"/>
        </w:trPr>
        <w:tc>
          <w:tcPr>
            <w:tcW w:w="3620" w:type="dxa"/>
            <w:tcBorders>
              <w:top w:val="single" w:sz="4" w:space="0" w:color="auto"/>
              <w:left w:val="single" w:sz="8" w:space="0" w:color="000000"/>
              <w:bottom w:val="nil"/>
              <w:right w:val="single" w:sz="8" w:space="0" w:color="000000"/>
            </w:tcBorders>
            <w:vAlign w:val="center"/>
            <w:hideMark/>
          </w:tcPr>
          <w:p w:rsidR="00A51A62" w:rsidRDefault="00A51A62" w:rsidP="003C3157">
            <w:pPr>
              <w:spacing w:after="0" w:line="240" w:lineRule="auto"/>
              <w:rPr>
                <w:rFonts w:ascii="Times New Roman" w:hAnsi="Times New Roman"/>
                <w:i/>
                <w:color w:val="000000"/>
              </w:rPr>
            </w:pPr>
            <w:bookmarkStart w:id="5" w:name="_Hlk505087375"/>
            <w:r>
              <w:rPr>
                <w:rFonts w:ascii="Times New Roman" w:hAnsi="Times New Roman"/>
                <w:i/>
                <w:color w:val="000000"/>
              </w:rPr>
              <w:t>Mixed Income Housing</w:t>
            </w:r>
          </w:p>
        </w:tc>
        <w:tc>
          <w:tcPr>
            <w:tcW w:w="2261" w:type="dxa"/>
            <w:tcBorders>
              <w:top w:val="single" w:sz="4" w:space="0" w:color="auto"/>
              <w:left w:val="nil"/>
              <w:bottom w:val="single" w:sz="8" w:space="0" w:color="000000"/>
              <w:right w:val="single" w:sz="8" w:space="0" w:color="000000"/>
            </w:tcBorders>
            <w:vAlign w:val="center"/>
            <w:hideMark/>
          </w:tcPr>
          <w:p w:rsidR="00A51A62" w:rsidRDefault="00A51A62" w:rsidP="003C3157">
            <w:pPr>
              <w:spacing w:after="0" w:line="240" w:lineRule="auto"/>
              <w:rPr>
                <w:rFonts w:ascii="Times New Roman" w:hAnsi="Times New Roman"/>
                <w:i/>
                <w:color w:val="000000"/>
              </w:rPr>
            </w:pPr>
            <w:r>
              <w:rPr>
                <w:rFonts w:ascii="Times New Roman" w:hAnsi="Times New Roman"/>
                <w:i/>
                <w:color w:val="000000"/>
              </w:rPr>
              <w:t>Moderate Income</w:t>
            </w:r>
          </w:p>
        </w:tc>
        <w:tc>
          <w:tcPr>
            <w:tcW w:w="5473" w:type="dxa"/>
            <w:tcBorders>
              <w:top w:val="single" w:sz="4" w:space="0" w:color="auto"/>
              <w:left w:val="nil"/>
              <w:bottom w:val="single" w:sz="8" w:space="0" w:color="000000"/>
              <w:right w:val="single" w:sz="8" w:space="0" w:color="000000"/>
            </w:tcBorders>
            <w:vAlign w:val="center"/>
            <w:hideMark/>
          </w:tcPr>
          <w:p w:rsidR="00A51A62" w:rsidRDefault="00A51A62" w:rsidP="003C3157">
            <w:pPr>
              <w:spacing w:after="0" w:line="240" w:lineRule="auto"/>
              <w:jc w:val="center"/>
              <w:rPr>
                <w:rFonts w:ascii="Times New Roman" w:hAnsi="Times New Roman"/>
                <w:i/>
                <w:color w:val="000000"/>
              </w:rPr>
            </w:pPr>
            <w:r>
              <w:rPr>
                <w:rFonts w:ascii="Times New Roman" w:hAnsi="Times New Roman"/>
                <w:i/>
                <w:color w:val="000000"/>
              </w:rPr>
              <w:t xml:space="preserve">25% increase in units permitted </w:t>
            </w:r>
          </w:p>
        </w:tc>
      </w:tr>
      <w:tr w:rsidR="00A51A62" w:rsidTr="003C3157">
        <w:trPr>
          <w:trHeight w:val="326"/>
        </w:trPr>
        <w:tc>
          <w:tcPr>
            <w:tcW w:w="3620" w:type="dxa"/>
            <w:tcBorders>
              <w:top w:val="nil"/>
              <w:left w:val="single" w:sz="8" w:space="0" w:color="000000"/>
              <w:bottom w:val="single" w:sz="8" w:space="0" w:color="000000"/>
              <w:right w:val="single" w:sz="8" w:space="0" w:color="000000"/>
            </w:tcBorders>
            <w:vAlign w:val="center"/>
            <w:hideMark/>
          </w:tcPr>
          <w:p w:rsidR="00A51A62" w:rsidRDefault="00A51A62" w:rsidP="003C3157">
            <w:pPr>
              <w:spacing w:after="0" w:line="240" w:lineRule="auto"/>
              <w:rPr>
                <w:rFonts w:ascii="Times New Roman" w:hAnsi="Times New Roman"/>
                <w:i/>
                <w:color w:val="0000FF"/>
              </w:rPr>
            </w:pPr>
            <w:r>
              <w:rPr>
                <w:rFonts w:ascii="Times New Roman" w:hAnsi="Times New Roman"/>
                <w:i/>
              </w:rPr>
              <w:t>(§ 14-702(7))</w:t>
            </w:r>
          </w:p>
        </w:tc>
        <w:tc>
          <w:tcPr>
            <w:tcW w:w="2261" w:type="dxa"/>
            <w:tcBorders>
              <w:top w:val="nil"/>
              <w:left w:val="nil"/>
              <w:bottom w:val="single" w:sz="8" w:space="0" w:color="000000"/>
              <w:right w:val="single" w:sz="8" w:space="0" w:color="000000"/>
            </w:tcBorders>
            <w:vAlign w:val="center"/>
            <w:hideMark/>
          </w:tcPr>
          <w:p w:rsidR="00A51A62" w:rsidRDefault="00A51A62" w:rsidP="003C3157">
            <w:pPr>
              <w:spacing w:after="0" w:line="240" w:lineRule="auto"/>
              <w:rPr>
                <w:rFonts w:ascii="Times New Roman" w:hAnsi="Times New Roman"/>
                <w:i/>
                <w:color w:val="000000"/>
              </w:rPr>
            </w:pPr>
            <w:r>
              <w:rPr>
                <w:rFonts w:ascii="Times New Roman" w:hAnsi="Times New Roman"/>
                <w:i/>
                <w:color w:val="000000"/>
              </w:rPr>
              <w:t>Low Income</w:t>
            </w:r>
          </w:p>
        </w:tc>
        <w:tc>
          <w:tcPr>
            <w:tcW w:w="5473" w:type="dxa"/>
            <w:tcBorders>
              <w:top w:val="nil"/>
              <w:left w:val="nil"/>
              <w:bottom w:val="single" w:sz="8" w:space="0" w:color="000000"/>
              <w:right w:val="single" w:sz="8" w:space="0" w:color="000000"/>
            </w:tcBorders>
            <w:vAlign w:val="center"/>
            <w:hideMark/>
          </w:tcPr>
          <w:p w:rsidR="00A51A62" w:rsidRDefault="00A51A62" w:rsidP="003C3157">
            <w:pPr>
              <w:spacing w:after="0" w:line="240" w:lineRule="auto"/>
              <w:jc w:val="center"/>
              <w:rPr>
                <w:rFonts w:ascii="Times New Roman" w:hAnsi="Times New Roman"/>
                <w:i/>
                <w:color w:val="000000"/>
              </w:rPr>
            </w:pPr>
            <w:r>
              <w:rPr>
                <w:rFonts w:ascii="Times New Roman" w:hAnsi="Times New Roman"/>
                <w:i/>
                <w:color w:val="000000"/>
              </w:rPr>
              <w:t xml:space="preserve">50% increase in units permitted </w:t>
            </w:r>
          </w:p>
        </w:tc>
      </w:tr>
      <w:bookmarkEnd w:id="5"/>
    </w:tbl>
    <w:p w:rsidR="00A51A62" w:rsidRDefault="00A51A62" w:rsidP="00A51A62">
      <w:pPr>
        <w:spacing w:after="0" w:line="300" w:lineRule="exact"/>
        <w:rPr>
          <w:rFonts w:ascii="Times New Roman" w:hAnsi="Times New Roman"/>
          <w:i/>
          <w:color w:val="000000"/>
          <w:sz w:val="24"/>
          <w:szCs w:val="24"/>
        </w:rPr>
      </w:pPr>
    </w:p>
    <w:p w:rsidR="00A51A62" w:rsidRDefault="00A51A62" w:rsidP="00A51A62">
      <w:pPr>
        <w:spacing w:after="0" w:line="300" w:lineRule="exact"/>
        <w:rPr>
          <w:rFonts w:ascii="Times New Roman" w:hAnsi="Times New Roman"/>
          <w:strike/>
          <w:sz w:val="24"/>
          <w:szCs w:val="24"/>
        </w:rPr>
      </w:pPr>
    </w:p>
    <w:p w:rsidR="00A51A62" w:rsidRDefault="00A51A62" w:rsidP="00A51A62">
      <w:pPr>
        <w:spacing w:after="0" w:line="240" w:lineRule="auto"/>
        <w:ind w:left="720" w:firstLine="720"/>
        <w:rPr>
          <w:rFonts w:ascii="Times New Roman" w:hAnsi="Times New Roman"/>
          <w:i/>
          <w:sz w:val="24"/>
          <w:szCs w:val="24"/>
        </w:rPr>
      </w:pPr>
      <w:r>
        <w:rPr>
          <w:rFonts w:ascii="Times New Roman" w:hAnsi="Times New Roman"/>
          <w:i/>
          <w:sz w:val="24"/>
          <w:szCs w:val="24"/>
        </w:rPr>
        <w:t>(d)</w:t>
      </w:r>
      <w:r>
        <w:rPr>
          <w:rFonts w:ascii="Times New Roman" w:hAnsi="Times New Roman"/>
          <w:i/>
          <w:sz w:val="24"/>
          <w:szCs w:val="24"/>
        </w:rPr>
        <w:tab/>
        <w:t xml:space="preserve">Compliance check.  </w:t>
      </w:r>
    </w:p>
    <w:p w:rsidR="00A51A62" w:rsidRDefault="00A51A62" w:rsidP="00A51A62">
      <w:pPr>
        <w:spacing w:after="0" w:line="240" w:lineRule="auto"/>
        <w:rPr>
          <w:rFonts w:ascii="Times New Roman" w:hAnsi="Times New Roman"/>
          <w:i/>
          <w:sz w:val="24"/>
          <w:szCs w:val="24"/>
        </w:rPr>
      </w:pPr>
    </w:p>
    <w:p w:rsidR="00A51A62" w:rsidRDefault="00A51A62" w:rsidP="00A51A62">
      <w:pPr>
        <w:spacing w:after="0" w:line="240" w:lineRule="auto"/>
        <w:ind w:left="2880" w:hanging="720"/>
        <w:rPr>
          <w:rFonts w:ascii="Times New Roman" w:hAnsi="Times New Roman"/>
          <w:i/>
          <w:sz w:val="24"/>
          <w:szCs w:val="24"/>
        </w:rPr>
      </w:pPr>
      <w:r>
        <w:rPr>
          <w:rFonts w:ascii="Times New Roman" w:hAnsi="Times New Roman"/>
          <w:i/>
          <w:sz w:val="24"/>
          <w:szCs w:val="24"/>
        </w:rPr>
        <w:t xml:space="preserve">(.1) </w:t>
      </w:r>
      <w:r>
        <w:rPr>
          <w:rFonts w:ascii="Times New Roman" w:hAnsi="Times New Roman"/>
          <w:i/>
          <w:sz w:val="24"/>
          <w:szCs w:val="24"/>
        </w:rPr>
        <w:tab/>
        <w:t xml:space="preserve">No zoning permit shall be issued pursuant to section § 14-303(6) for any project, or any portion thereof, that has been awarded bonus floor area or building height pursuant to this § 14-702(7) unless the Department of Planning and Development certifies to the Department of Licenses and Inspections that the applicant has acknowledged, in form satisfactory to the Department of Planning and Development, an understanding of the requirements of this § 14-702(7).  </w:t>
      </w:r>
    </w:p>
    <w:p w:rsidR="00A51A62" w:rsidRDefault="00A51A62" w:rsidP="00A51A62">
      <w:pPr>
        <w:spacing w:after="0" w:line="240" w:lineRule="auto"/>
        <w:ind w:firstLine="720"/>
        <w:rPr>
          <w:rFonts w:ascii="Times New Roman" w:hAnsi="Times New Roman"/>
          <w:i/>
          <w:sz w:val="24"/>
          <w:szCs w:val="24"/>
        </w:rPr>
      </w:pPr>
    </w:p>
    <w:p w:rsidR="00A51A62" w:rsidRDefault="00A51A62" w:rsidP="00A51A62">
      <w:pPr>
        <w:spacing w:after="0" w:line="240" w:lineRule="auto"/>
        <w:ind w:left="2880" w:hanging="720"/>
        <w:rPr>
          <w:rFonts w:ascii="Times New Roman" w:hAnsi="Times New Roman"/>
          <w:i/>
          <w:sz w:val="24"/>
          <w:szCs w:val="24"/>
        </w:rPr>
      </w:pPr>
      <w:r>
        <w:rPr>
          <w:rFonts w:ascii="Times New Roman" w:hAnsi="Times New Roman"/>
          <w:i/>
          <w:sz w:val="24"/>
          <w:szCs w:val="24"/>
        </w:rPr>
        <w:t xml:space="preserve">(.2) </w:t>
      </w:r>
      <w:r>
        <w:rPr>
          <w:rFonts w:ascii="Times New Roman" w:hAnsi="Times New Roman"/>
          <w:i/>
          <w:sz w:val="24"/>
          <w:szCs w:val="24"/>
        </w:rPr>
        <w:tab/>
        <w:t>No building permit shall be issued pursuant to Section A-301 of Title 4 for any project, or any portion thereof, that has been awarded bonus floor area or building height pursuant to this § 14-702(7) unless the Department of Planning and Development has certified to the Department of Licenses and Inspections that the applicant has made all required payments pursuant to an agreement provided for by subsection (b)(.6) or is in compliance with all of the following:</w:t>
      </w:r>
    </w:p>
    <w:p w:rsidR="00A51A62" w:rsidRDefault="00A51A62" w:rsidP="00A51A62">
      <w:pPr>
        <w:spacing w:after="0" w:line="240" w:lineRule="auto"/>
        <w:ind w:firstLine="720"/>
        <w:rPr>
          <w:rFonts w:ascii="Times New Roman" w:hAnsi="Times New Roman"/>
          <w:i/>
          <w:sz w:val="24"/>
          <w:szCs w:val="24"/>
        </w:rPr>
      </w:pPr>
    </w:p>
    <w:p w:rsidR="00A51A62" w:rsidRDefault="00A51A62" w:rsidP="00A51A62">
      <w:pPr>
        <w:spacing w:after="0" w:line="240" w:lineRule="auto"/>
        <w:ind w:left="3600" w:hanging="720"/>
        <w:rPr>
          <w:rFonts w:ascii="Times New Roman" w:hAnsi="Times New Roman"/>
          <w:i/>
          <w:sz w:val="24"/>
          <w:szCs w:val="24"/>
        </w:rPr>
      </w:pPr>
      <w:r>
        <w:rPr>
          <w:rFonts w:ascii="Times New Roman" w:hAnsi="Times New Roman"/>
          <w:i/>
          <w:sz w:val="24"/>
          <w:szCs w:val="24"/>
        </w:rPr>
        <w:t>(A)</w:t>
      </w:r>
      <w:r>
        <w:rPr>
          <w:rFonts w:ascii="Times New Roman" w:hAnsi="Times New Roman"/>
          <w:i/>
          <w:sz w:val="24"/>
          <w:szCs w:val="24"/>
        </w:rPr>
        <w:tab/>
        <w:t xml:space="preserve">The applicant has demonstrated that the applicant is capable of and prepared to actively market the affordable units to eligible tenants and eligible purchasers; </w:t>
      </w:r>
    </w:p>
    <w:p w:rsidR="00A51A62" w:rsidRDefault="00A51A62" w:rsidP="00A51A62">
      <w:pPr>
        <w:spacing w:after="0" w:line="240" w:lineRule="auto"/>
        <w:rPr>
          <w:rFonts w:ascii="Times New Roman" w:hAnsi="Times New Roman"/>
          <w:i/>
          <w:sz w:val="24"/>
          <w:szCs w:val="24"/>
        </w:rPr>
      </w:pPr>
    </w:p>
    <w:p w:rsidR="00A51A62" w:rsidRDefault="00A51A62" w:rsidP="00A51A62">
      <w:pPr>
        <w:spacing w:after="0" w:line="240" w:lineRule="auto"/>
        <w:ind w:left="3600" w:hanging="720"/>
        <w:rPr>
          <w:rFonts w:ascii="Times New Roman" w:hAnsi="Times New Roman"/>
          <w:i/>
          <w:sz w:val="24"/>
          <w:szCs w:val="24"/>
        </w:rPr>
      </w:pPr>
      <w:r>
        <w:rPr>
          <w:rFonts w:ascii="Times New Roman" w:hAnsi="Times New Roman"/>
          <w:i/>
          <w:sz w:val="24"/>
          <w:szCs w:val="24"/>
        </w:rPr>
        <w:t>(B)</w:t>
      </w:r>
      <w:r>
        <w:rPr>
          <w:rFonts w:ascii="Times New Roman" w:hAnsi="Times New Roman"/>
          <w:i/>
          <w:sz w:val="24"/>
          <w:szCs w:val="24"/>
        </w:rPr>
        <w:tab/>
        <w:t>The applicant has filed an Affordable Building Plan, signed by both the applicant and the design professional responsible for the development, which specifies, to the satisfaction of the Department of Planning and Development, the quality, quantity, placement, design, and phasing of the development and of each affordable unit, and which acknowledges that the applicant is subject to penalties in the event that the development fails to conform with such Plan or any approved modifications of such Plan.  Any deviation from an approved Affordable Building Plan must comply with the requirements of this Chapter and must be approved by the Department of Planning and Development; and</w:t>
      </w:r>
    </w:p>
    <w:p w:rsidR="00A51A62" w:rsidRDefault="00A51A62" w:rsidP="00A51A62">
      <w:pPr>
        <w:spacing w:after="0" w:line="240" w:lineRule="auto"/>
        <w:rPr>
          <w:rFonts w:ascii="Times New Roman" w:hAnsi="Times New Roman"/>
          <w:i/>
          <w:sz w:val="24"/>
          <w:szCs w:val="24"/>
        </w:rPr>
      </w:pPr>
    </w:p>
    <w:p w:rsidR="00A51A62" w:rsidRDefault="00A51A62" w:rsidP="00A51A62">
      <w:pPr>
        <w:spacing w:after="0" w:line="240" w:lineRule="auto"/>
        <w:ind w:left="3600" w:hanging="720"/>
        <w:rPr>
          <w:rFonts w:ascii="Times New Roman" w:hAnsi="Times New Roman"/>
          <w:i/>
          <w:sz w:val="24"/>
          <w:szCs w:val="24"/>
        </w:rPr>
      </w:pPr>
      <w:r>
        <w:rPr>
          <w:rFonts w:ascii="Times New Roman" w:hAnsi="Times New Roman"/>
          <w:i/>
          <w:sz w:val="24"/>
          <w:szCs w:val="24"/>
        </w:rPr>
        <w:t>(C)</w:t>
      </w:r>
      <w:r>
        <w:rPr>
          <w:rFonts w:ascii="Times New Roman" w:hAnsi="Times New Roman"/>
          <w:i/>
          <w:sz w:val="24"/>
          <w:szCs w:val="24"/>
        </w:rPr>
        <w:tab/>
        <w:t>The property is in compliance with all requirements of this section § 14-702(7), including but not limited to the recordation of an instrument pursuant to subsection (b), as well as any additional requirements that the Department of Planning and Development shall impose in order to secure and monitor the applicant’s satisfaction of all obligations imposed by this Chapter.</w:t>
      </w:r>
    </w:p>
    <w:p w:rsidR="00A51A62" w:rsidRDefault="00A51A62" w:rsidP="00A51A62">
      <w:pPr>
        <w:spacing w:after="0" w:line="240" w:lineRule="auto"/>
        <w:rPr>
          <w:rFonts w:ascii="Times New Roman" w:hAnsi="Times New Roman"/>
          <w:i/>
          <w:sz w:val="24"/>
          <w:szCs w:val="24"/>
        </w:rPr>
      </w:pPr>
    </w:p>
    <w:p w:rsidR="00A51A62" w:rsidRDefault="00A51A62" w:rsidP="00A51A62">
      <w:pPr>
        <w:spacing w:after="0" w:line="240" w:lineRule="auto"/>
        <w:ind w:left="2880" w:hanging="720"/>
        <w:rPr>
          <w:rFonts w:ascii="Times New Roman" w:hAnsi="Times New Roman"/>
          <w:i/>
          <w:sz w:val="24"/>
          <w:szCs w:val="24"/>
        </w:rPr>
      </w:pPr>
      <w:r>
        <w:rPr>
          <w:rFonts w:ascii="Times New Roman" w:hAnsi="Times New Roman"/>
          <w:i/>
          <w:sz w:val="24"/>
          <w:szCs w:val="24"/>
        </w:rPr>
        <w:t xml:space="preserve">(.3) </w:t>
      </w:r>
      <w:r>
        <w:rPr>
          <w:rFonts w:ascii="Times New Roman" w:hAnsi="Times New Roman"/>
          <w:i/>
          <w:sz w:val="24"/>
          <w:szCs w:val="24"/>
        </w:rPr>
        <w:tab/>
        <w:t>No certificate of occupancy shall be issued pursuant to Section A-701 of Title 4 for any dwelling units included in a development, and no occupancy of such units shall be permitted, unless certificates of occupancy have also been issued for all affordable units required by this § 14-702(7) or there has been compliance with any agreement provided for by § 14-702(7)(b)(.6); provided that the Department of Planning and Development may waive this requirement upon a showing of exceptional circumstances with respect to permitted off-site affordable units only and only upon agreement by the applicant to further conditions and penalties for non-compliance, all as provided for in regulations of the Department of Planning and Development.</w:t>
      </w:r>
    </w:p>
    <w:p w:rsidR="00A51A62" w:rsidRDefault="00A51A62" w:rsidP="00A51A62">
      <w:pPr>
        <w:spacing w:line="240" w:lineRule="auto"/>
        <w:rPr>
          <w:rFonts w:ascii="Times New Roman" w:hAnsi="Times New Roman"/>
          <w:sz w:val="24"/>
          <w:szCs w:val="24"/>
        </w:rPr>
      </w:pPr>
    </w:p>
    <w:p w:rsidR="00A51A62" w:rsidRDefault="00A51A62" w:rsidP="00A51A62">
      <w:pPr>
        <w:spacing w:line="240" w:lineRule="auto"/>
        <w:ind w:left="720" w:firstLine="720"/>
        <w:rPr>
          <w:rFonts w:ascii="Times New Roman" w:hAnsi="Times New Roman"/>
          <w:i/>
          <w:sz w:val="24"/>
          <w:szCs w:val="24"/>
        </w:rPr>
      </w:pPr>
      <w:r>
        <w:rPr>
          <w:rFonts w:ascii="Times New Roman" w:hAnsi="Times New Roman"/>
          <w:i/>
          <w:sz w:val="24"/>
          <w:szCs w:val="24"/>
        </w:rPr>
        <w:t xml:space="preserve">(e)  </w:t>
      </w:r>
      <w:r>
        <w:rPr>
          <w:rFonts w:ascii="Times New Roman" w:hAnsi="Times New Roman"/>
          <w:i/>
          <w:sz w:val="24"/>
          <w:szCs w:val="24"/>
        </w:rPr>
        <w:tab/>
        <w:t>Remedies.</w:t>
      </w:r>
    </w:p>
    <w:p w:rsidR="00A51A62" w:rsidRDefault="00A51A62" w:rsidP="00A51A62">
      <w:pPr>
        <w:spacing w:after="0" w:line="240" w:lineRule="auto"/>
        <w:ind w:left="2880" w:hanging="720"/>
        <w:rPr>
          <w:rFonts w:ascii="Times New Roman" w:hAnsi="Times New Roman"/>
          <w:i/>
          <w:sz w:val="24"/>
          <w:szCs w:val="24"/>
        </w:rPr>
      </w:pPr>
      <w:r>
        <w:rPr>
          <w:rFonts w:ascii="Times New Roman" w:hAnsi="Times New Roman"/>
          <w:i/>
          <w:sz w:val="24"/>
          <w:szCs w:val="24"/>
        </w:rPr>
        <w:t xml:space="preserve">(.1) </w:t>
      </w:r>
      <w:r>
        <w:rPr>
          <w:rFonts w:ascii="Times New Roman" w:hAnsi="Times New Roman"/>
          <w:i/>
          <w:sz w:val="24"/>
          <w:szCs w:val="24"/>
        </w:rPr>
        <w:tab/>
        <w:t>Failure to comply with any provision of a recorded instrument required by this § 14-702(7) shall, in addition to any other remedies available by law, be grounds for:</w:t>
      </w:r>
    </w:p>
    <w:p w:rsidR="00A51A62" w:rsidRDefault="00A51A62" w:rsidP="00A51A62">
      <w:pPr>
        <w:spacing w:after="0" w:line="240" w:lineRule="auto"/>
        <w:rPr>
          <w:rFonts w:ascii="Times New Roman" w:hAnsi="Times New Roman"/>
          <w:i/>
          <w:sz w:val="24"/>
          <w:szCs w:val="24"/>
        </w:rPr>
      </w:pPr>
    </w:p>
    <w:p w:rsidR="00A51A62" w:rsidRDefault="00A51A62" w:rsidP="00A51A62">
      <w:pPr>
        <w:spacing w:after="0" w:line="240" w:lineRule="auto"/>
        <w:ind w:left="3600" w:hanging="720"/>
        <w:rPr>
          <w:rFonts w:ascii="Times New Roman" w:hAnsi="Times New Roman"/>
          <w:i/>
          <w:sz w:val="24"/>
          <w:szCs w:val="24"/>
        </w:rPr>
      </w:pPr>
      <w:r>
        <w:rPr>
          <w:rFonts w:ascii="Times New Roman" w:hAnsi="Times New Roman"/>
          <w:i/>
          <w:sz w:val="24"/>
          <w:szCs w:val="24"/>
        </w:rPr>
        <w:t xml:space="preserve">(A) </w:t>
      </w:r>
      <w:r>
        <w:rPr>
          <w:rFonts w:ascii="Times New Roman" w:hAnsi="Times New Roman"/>
          <w:i/>
          <w:sz w:val="24"/>
          <w:szCs w:val="24"/>
        </w:rPr>
        <w:tab/>
        <w:t>Revocation of any building permit, certificate of occupancy or rental license and the prohibition of renewal of any such permits, certificates, or licenses.</w:t>
      </w:r>
    </w:p>
    <w:p w:rsidR="00A51A62" w:rsidRDefault="00A51A62" w:rsidP="00A51A62">
      <w:pPr>
        <w:spacing w:after="0" w:line="240" w:lineRule="auto"/>
        <w:rPr>
          <w:rFonts w:ascii="Times New Roman" w:hAnsi="Times New Roman"/>
          <w:i/>
          <w:sz w:val="24"/>
          <w:szCs w:val="24"/>
        </w:rPr>
      </w:pPr>
    </w:p>
    <w:p w:rsidR="00A51A62" w:rsidRDefault="00A51A62" w:rsidP="00A51A62">
      <w:pPr>
        <w:spacing w:after="0" w:line="240" w:lineRule="auto"/>
        <w:ind w:left="3600" w:hanging="720"/>
        <w:rPr>
          <w:rFonts w:ascii="Times New Roman" w:hAnsi="Times New Roman"/>
          <w:i/>
          <w:sz w:val="24"/>
          <w:szCs w:val="24"/>
        </w:rPr>
      </w:pPr>
      <w:r>
        <w:rPr>
          <w:rFonts w:ascii="Times New Roman" w:hAnsi="Times New Roman"/>
          <w:i/>
          <w:sz w:val="24"/>
          <w:szCs w:val="24"/>
        </w:rPr>
        <w:t xml:space="preserve">(B) </w:t>
      </w:r>
      <w:r>
        <w:rPr>
          <w:rFonts w:ascii="Times New Roman" w:hAnsi="Times New Roman"/>
          <w:i/>
          <w:sz w:val="24"/>
          <w:szCs w:val="24"/>
        </w:rPr>
        <w:tab/>
        <w:t>A fine of $500 per day of noncompliance.</w:t>
      </w:r>
    </w:p>
    <w:p w:rsidR="00A51A62" w:rsidRDefault="00A51A62" w:rsidP="00A51A62">
      <w:pPr>
        <w:spacing w:after="0" w:line="240" w:lineRule="auto"/>
        <w:rPr>
          <w:rFonts w:ascii="Times New Roman" w:hAnsi="Times New Roman"/>
          <w:i/>
          <w:sz w:val="24"/>
          <w:szCs w:val="24"/>
        </w:rPr>
      </w:pPr>
    </w:p>
    <w:p w:rsidR="00A51A62" w:rsidRDefault="00A51A62" w:rsidP="00A51A62">
      <w:pPr>
        <w:spacing w:after="0" w:line="240" w:lineRule="auto"/>
        <w:ind w:left="2880" w:hanging="720"/>
        <w:rPr>
          <w:rFonts w:ascii="Times New Roman" w:hAnsi="Times New Roman"/>
          <w:i/>
          <w:sz w:val="24"/>
          <w:szCs w:val="24"/>
        </w:rPr>
      </w:pPr>
      <w:r>
        <w:rPr>
          <w:rFonts w:ascii="Times New Roman" w:hAnsi="Times New Roman"/>
          <w:i/>
          <w:sz w:val="24"/>
          <w:szCs w:val="24"/>
        </w:rPr>
        <w:t xml:space="preserve">(.2) </w:t>
      </w:r>
      <w:r>
        <w:rPr>
          <w:rFonts w:ascii="Times New Roman" w:hAnsi="Times New Roman"/>
          <w:i/>
          <w:sz w:val="24"/>
          <w:szCs w:val="24"/>
        </w:rPr>
        <w:tab/>
        <w:t>The Department</w:t>
      </w:r>
      <w:r w:rsidR="001E2AF3">
        <w:rPr>
          <w:rFonts w:ascii="Times New Roman" w:hAnsi="Times New Roman"/>
          <w:i/>
          <w:sz w:val="24"/>
          <w:szCs w:val="24"/>
        </w:rPr>
        <w:t xml:space="preserve"> </w:t>
      </w:r>
      <w:r w:rsidR="001E2AF3">
        <w:rPr>
          <w:rFonts w:ascii="Times New Roman" w:hAnsi="Times New Roman"/>
          <w:b/>
          <w:i/>
          <w:sz w:val="24"/>
          <w:szCs w:val="24"/>
        </w:rPr>
        <w:t>of Planning and Development</w:t>
      </w:r>
      <w:r>
        <w:rPr>
          <w:rFonts w:ascii="Times New Roman" w:hAnsi="Times New Roman"/>
          <w:i/>
          <w:sz w:val="24"/>
          <w:szCs w:val="24"/>
        </w:rPr>
        <w:t xml:space="preserve"> shall have the right to inspect such documents as may be necessary to determine continued compliance, including but not limited to financial records of any tenants or owners to confirm that they are eligible tenants or eligible purchasers.</w:t>
      </w:r>
    </w:p>
    <w:p w:rsidR="00A51A62" w:rsidRDefault="00A51A62" w:rsidP="00A51A62">
      <w:pPr>
        <w:spacing w:after="0" w:line="240" w:lineRule="auto"/>
        <w:rPr>
          <w:rFonts w:ascii="Times New Roman" w:hAnsi="Times New Roman"/>
          <w:i/>
          <w:sz w:val="24"/>
          <w:szCs w:val="24"/>
        </w:rPr>
      </w:pPr>
    </w:p>
    <w:p w:rsidR="00A51A62" w:rsidRDefault="00A51A62" w:rsidP="00A51A62">
      <w:pPr>
        <w:spacing w:line="240" w:lineRule="auto"/>
        <w:ind w:left="720" w:firstLine="720"/>
        <w:rPr>
          <w:rFonts w:ascii="Times New Roman" w:hAnsi="Times New Roman"/>
          <w:i/>
          <w:sz w:val="24"/>
          <w:szCs w:val="24"/>
        </w:rPr>
      </w:pPr>
      <w:r>
        <w:rPr>
          <w:rFonts w:ascii="Times New Roman" w:hAnsi="Times New Roman"/>
          <w:i/>
          <w:sz w:val="24"/>
          <w:szCs w:val="24"/>
        </w:rPr>
        <w:t xml:space="preserve">(f)  </w:t>
      </w:r>
      <w:r>
        <w:rPr>
          <w:rFonts w:ascii="Times New Roman" w:hAnsi="Times New Roman"/>
          <w:i/>
          <w:sz w:val="24"/>
          <w:szCs w:val="24"/>
        </w:rPr>
        <w:tab/>
        <w:t>Reporting.</w:t>
      </w:r>
    </w:p>
    <w:p w:rsidR="00A51A62" w:rsidRDefault="00A51A62" w:rsidP="00A51A62">
      <w:pPr>
        <w:spacing w:after="0" w:line="240" w:lineRule="auto"/>
        <w:ind w:left="2160"/>
        <w:rPr>
          <w:rFonts w:ascii="Times New Roman" w:hAnsi="Times New Roman"/>
          <w:i/>
          <w:sz w:val="24"/>
          <w:szCs w:val="24"/>
        </w:rPr>
      </w:pPr>
      <w:r>
        <w:rPr>
          <w:rFonts w:ascii="Times New Roman" w:hAnsi="Times New Roman"/>
          <w:i/>
          <w:sz w:val="24"/>
          <w:szCs w:val="24"/>
        </w:rPr>
        <w:t xml:space="preserve">The Department of Planning and Development shall publish annually a Mixed Income Housing Program Report, which shall include: quantity, size, and location of affordable units; tendered payments in lieu of providing affordable units and how such payments were spent; and household size and income of eligible tenants and eligible purchasers who have either applied for or have occupied affordable units. </w:t>
      </w:r>
    </w:p>
    <w:p w:rsidR="00A51A62" w:rsidRDefault="00A51A62" w:rsidP="00A51A62">
      <w:pPr>
        <w:spacing w:line="240" w:lineRule="auto"/>
        <w:rPr>
          <w:rFonts w:ascii="Times New Roman" w:hAnsi="Times New Roman"/>
          <w:i/>
          <w:sz w:val="24"/>
          <w:szCs w:val="24"/>
        </w:rPr>
      </w:pPr>
    </w:p>
    <w:p w:rsidR="00A51A62" w:rsidRDefault="00A51A62" w:rsidP="00A51A62">
      <w:pPr>
        <w:spacing w:line="240" w:lineRule="auto"/>
        <w:ind w:left="720" w:firstLine="720"/>
        <w:rPr>
          <w:rFonts w:ascii="Times New Roman" w:hAnsi="Times New Roman"/>
          <w:i/>
          <w:sz w:val="24"/>
          <w:szCs w:val="24"/>
        </w:rPr>
      </w:pPr>
      <w:r>
        <w:rPr>
          <w:rFonts w:ascii="Times New Roman" w:hAnsi="Times New Roman"/>
          <w:i/>
          <w:sz w:val="24"/>
          <w:szCs w:val="24"/>
        </w:rPr>
        <w:t xml:space="preserve">(g) </w:t>
      </w:r>
      <w:r>
        <w:rPr>
          <w:rFonts w:ascii="Times New Roman" w:hAnsi="Times New Roman"/>
          <w:i/>
          <w:sz w:val="24"/>
          <w:szCs w:val="24"/>
        </w:rPr>
        <w:tab/>
        <w:t>Regulations.</w:t>
      </w:r>
    </w:p>
    <w:p w:rsidR="00A51A62" w:rsidRDefault="00A51A62" w:rsidP="00A51A62">
      <w:pPr>
        <w:spacing w:after="0" w:line="240" w:lineRule="auto"/>
        <w:ind w:left="2160"/>
        <w:rPr>
          <w:rFonts w:ascii="Times New Roman" w:hAnsi="Times New Roman"/>
          <w:i/>
          <w:sz w:val="24"/>
          <w:szCs w:val="24"/>
        </w:rPr>
      </w:pPr>
      <w:r>
        <w:rPr>
          <w:rFonts w:ascii="Times New Roman" w:hAnsi="Times New Roman"/>
          <w:i/>
          <w:sz w:val="24"/>
          <w:szCs w:val="24"/>
        </w:rPr>
        <w:t>The Department of Planning and Development shall have the authority to promulgate regulations to clarify, implement or administer any provision of this § 14-702(7).</w:t>
      </w:r>
    </w:p>
    <w:p w:rsidR="00A51A62" w:rsidRDefault="00A51A62" w:rsidP="00A51A62">
      <w:pPr>
        <w:spacing w:after="0" w:line="240" w:lineRule="auto"/>
        <w:rPr>
          <w:rFonts w:ascii="Times New Roman" w:hAnsi="Times New Roman"/>
          <w:sz w:val="24"/>
          <w:szCs w:val="24"/>
        </w:rPr>
      </w:pPr>
    </w:p>
    <w:p w:rsidR="00A51A62" w:rsidRDefault="00A51A62" w:rsidP="00A51A62">
      <w:pPr>
        <w:spacing w:after="0" w:line="240" w:lineRule="auto"/>
        <w:rPr>
          <w:rFonts w:ascii="Times New Roman" w:hAnsi="Times New Roman"/>
          <w:b/>
          <w:sz w:val="24"/>
          <w:szCs w:val="24"/>
        </w:rPr>
      </w:pPr>
      <w:r>
        <w:rPr>
          <w:rFonts w:ascii="Times New Roman" w:hAnsi="Times New Roman"/>
          <w:sz w:val="24"/>
          <w:szCs w:val="24"/>
        </w:rPr>
        <w:t>SECTION 2.  Effective date.  This Ordinance shall be effective immediately.</w:t>
      </w:r>
    </w:p>
    <w:p w:rsidR="00AA65E3" w:rsidRDefault="00AA65E3" w:rsidP="00F4125E">
      <w:pPr>
        <w:spacing w:after="0" w:line="300" w:lineRule="exact"/>
        <w:rPr>
          <w:rFonts w:ascii="Times New Roman" w:hAnsi="Times New Roman"/>
        </w:rPr>
      </w:pPr>
    </w:p>
    <w:p w:rsidR="00AB7E5C" w:rsidRPr="00F4125E" w:rsidRDefault="00AB7E5C" w:rsidP="00F4125E">
      <w:pPr>
        <w:spacing w:after="0" w:line="300" w:lineRule="exact"/>
        <w:rPr>
          <w:rFonts w:ascii="Times New Roman" w:hAnsi="Times New Roman"/>
          <w:sz w:val="24"/>
          <w:szCs w:val="24"/>
        </w:rPr>
      </w:pPr>
    </w:p>
    <w:sectPr w:rsidR="00AB7E5C" w:rsidRPr="00F4125E" w:rsidSect="00E45D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A62" w:rsidRDefault="00A51A62" w:rsidP="00F4125E">
      <w:pPr>
        <w:spacing w:after="0" w:line="240" w:lineRule="auto"/>
      </w:pPr>
      <w:r>
        <w:separator/>
      </w:r>
    </w:p>
  </w:endnote>
  <w:endnote w:type="continuationSeparator" w:id="0">
    <w:p w:rsidR="00A51A62" w:rsidRDefault="00A51A62" w:rsidP="00F41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A62" w:rsidRDefault="00A51A62" w:rsidP="00F4125E">
      <w:pPr>
        <w:spacing w:after="0" w:line="240" w:lineRule="auto"/>
      </w:pPr>
      <w:r>
        <w:separator/>
      </w:r>
    </w:p>
  </w:footnote>
  <w:footnote w:type="continuationSeparator" w:id="0">
    <w:p w:rsidR="00A51A62" w:rsidRDefault="00A51A62" w:rsidP="00F412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A62"/>
    <w:rsid w:val="0002726C"/>
    <w:rsid w:val="00033322"/>
    <w:rsid w:val="0008066E"/>
    <w:rsid w:val="000F3DCD"/>
    <w:rsid w:val="00127C3D"/>
    <w:rsid w:val="0014434A"/>
    <w:rsid w:val="001A1323"/>
    <w:rsid w:val="001E2AF3"/>
    <w:rsid w:val="00212AF3"/>
    <w:rsid w:val="00255464"/>
    <w:rsid w:val="00277B0D"/>
    <w:rsid w:val="00285B80"/>
    <w:rsid w:val="00454F8D"/>
    <w:rsid w:val="00535F7F"/>
    <w:rsid w:val="006672B1"/>
    <w:rsid w:val="00716AF1"/>
    <w:rsid w:val="007E6FF6"/>
    <w:rsid w:val="00825325"/>
    <w:rsid w:val="008D61AB"/>
    <w:rsid w:val="008E18ED"/>
    <w:rsid w:val="008F5BAB"/>
    <w:rsid w:val="009A2A29"/>
    <w:rsid w:val="009B7797"/>
    <w:rsid w:val="00A51A62"/>
    <w:rsid w:val="00A767FF"/>
    <w:rsid w:val="00AA65E3"/>
    <w:rsid w:val="00AB7E5C"/>
    <w:rsid w:val="00AC1704"/>
    <w:rsid w:val="00B62161"/>
    <w:rsid w:val="00B9168C"/>
    <w:rsid w:val="00BD0D06"/>
    <w:rsid w:val="00D053A7"/>
    <w:rsid w:val="00D32D9A"/>
    <w:rsid w:val="00D93F90"/>
    <w:rsid w:val="00E01415"/>
    <w:rsid w:val="00E473D2"/>
    <w:rsid w:val="00F4125E"/>
    <w:rsid w:val="00F50477"/>
    <w:rsid w:val="00F82878"/>
    <w:rsid w:val="00FF11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A62"/>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412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125E"/>
    <w:rPr>
      <w:sz w:val="20"/>
      <w:szCs w:val="20"/>
    </w:rPr>
  </w:style>
  <w:style w:type="character" w:styleId="FootnoteReference">
    <w:name w:val="footnote reference"/>
    <w:basedOn w:val="DefaultParagraphFont"/>
    <w:uiPriority w:val="99"/>
    <w:semiHidden/>
    <w:unhideWhenUsed/>
    <w:rsid w:val="00F4125E"/>
    <w:rPr>
      <w:vertAlign w:val="superscript"/>
    </w:rPr>
  </w:style>
  <w:style w:type="paragraph" w:styleId="BalloonText">
    <w:name w:val="Balloon Text"/>
    <w:basedOn w:val="Normal"/>
    <w:link w:val="BalloonTextChar"/>
    <w:uiPriority w:val="99"/>
    <w:semiHidden/>
    <w:unhideWhenUsed/>
    <w:rsid w:val="002554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5464"/>
    <w:rPr>
      <w:rFonts w:ascii="Segoe UI" w:eastAsia="Times New Roman"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A62"/>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412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125E"/>
    <w:rPr>
      <w:sz w:val="20"/>
      <w:szCs w:val="20"/>
    </w:rPr>
  </w:style>
  <w:style w:type="character" w:styleId="FootnoteReference">
    <w:name w:val="footnote reference"/>
    <w:basedOn w:val="DefaultParagraphFont"/>
    <w:uiPriority w:val="99"/>
    <w:semiHidden/>
    <w:unhideWhenUsed/>
    <w:rsid w:val="00F4125E"/>
    <w:rPr>
      <w:vertAlign w:val="superscript"/>
    </w:rPr>
  </w:style>
  <w:style w:type="paragraph" w:styleId="BalloonText">
    <w:name w:val="Balloon Text"/>
    <w:basedOn w:val="Normal"/>
    <w:link w:val="BalloonTextChar"/>
    <w:uiPriority w:val="99"/>
    <w:semiHidden/>
    <w:unhideWhenUsed/>
    <w:rsid w:val="002554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546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607949">
      <w:bodyDiv w:val="1"/>
      <w:marLeft w:val="0"/>
      <w:marRight w:val="0"/>
      <w:marTop w:val="0"/>
      <w:marBottom w:val="0"/>
      <w:divBdr>
        <w:top w:val="none" w:sz="0" w:space="0" w:color="auto"/>
        <w:left w:val="none" w:sz="0" w:space="0" w:color="auto"/>
        <w:bottom w:val="none" w:sz="0" w:space="0" w:color="auto"/>
        <w:right w:val="none" w:sz="0" w:space="0" w:color="auto"/>
      </w:divBdr>
      <w:divsChild>
        <w:div w:id="994259722">
          <w:marLeft w:val="0"/>
          <w:marRight w:val="0"/>
          <w:marTop w:val="0"/>
          <w:marBottom w:val="0"/>
          <w:divBdr>
            <w:top w:val="none" w:sz="0" w:space="0" w:color="auto"/>
            <w:left w:val="none" w:sz="0" w:space="0" w:color="auto"/>
            <w:bottom w:val="none" w:sz="0" w:space="0" w:color="auto"/>
            <w:right w:val="none" w:sz="0" w:space="0" w:color="auto"/>
          </w:divBdr>
          <w:divsChild>
            <w:div w:id="699167176">
              <w:marLeft w:val="0"/>
              <w:marRight w:val="0"/>
              <w:marTop w:val="0"/>
              <w:marBottom w:val="0"/>
              <w:divBdr>
                <w:top w:val="none" w:sz="0" w:space="0" w:color="auto"/>
                <w:left w:val="none" w:sz="0" w:space="0" w:color="auto"/>
                <w:bottom w:val="none" w:sz="0" w:space="0" w:color="auto"/>
                <w:right w:val="none" w:sz="0" w:space="0" w:color="auto"/>
              </w:divBdr>
            </w:div>
          </w:divsChild>
        </w:div>
        <w:div w:id="738328834">
          <w:marLeft w:val="0"/>
          <w:marRight w:val="0"/>
          <w:marTop w:val="0"/>
          <w:marBottom w:val="0"/>
          <w:divBdr>
            <w:top w:val="none" w:sz="0" w:space="0" w:color="auto"/>
            <w:left w:val="none" w:sz="0" w:space="0" w:color="auto"/>
            <w:bottom w:val="none" w:sz="0" w:space="0" w:color="auto"/>
            <w:right w:val="none" w:sz="0" w:space="0" w:color="auto"/>
          </w:divBdr>
          <w:divsChild>
            <w:div w:id="512383280">
              <w:marLeft w:val="0"/>
              <w:marRight w:val="0"/>
              <w:marTop w:val="0"/>
              <w:marBottom w:val="0"/>
              <w:divBdr>
                <w:top w:val="none" w:sz="0" w:space="0" w:color="auto"/>
                <w:left w:val="none" w:sz="0" w:space="0" w:color="auto"/>
                <w:bottom w:val="none" w:sz="0" w:space="0" w:color="auto"/>
                <w:right w:val="none" w:sz="0" w:space="0" w:color="auto"/>
              </w:divBdr>
            </w:div>
          </w:divsChild>
        </w:div>
        <w:div w:id="214584521">
          <w:marLeft w:val="0"/>
          <w:marRight w:val="0"/>
          <w:marTop w:val="0"/>
          <w:marBottom w:val="0"/>
          <w:divBdr>
            <w:top w:val="none" w:sz="0" w:space="0" w:color="auto"/>
            <w:left w:val="none" w:sz="0" w:space="0" w:color="auto"/>
            <w:bottom w:val="none" w:sz="0" w:space="0" w:color="auto"/>
            <w:right w:val="none" w:sz="0" w:space="0" w:color="auto"/>
          </w:divBdr>
          <w:divsChild>
            <w:div w:id="553735528">
              <w:marLeft w:val="0"/>
              <w:marRight w:val="0"/>
              <w:marTop w:val="0"/>
              <w:marBottom w:val="0"/>
              <w:divBdr>
                <w:top w:val="none" w:sz="0" w:space="0" w:color="auto"/>
                <w:left w:val="none" w:sz="0" w:space="0" w:color="auto"/>
                <w:bottom w:val="none" w:sz="0" w:space="0" w:color="auto"/>
                <w:right w:val="none" w:sz="0" w:space="0" w:color="auto"/>
              </w:divBdr>
            </w:div>
          </w:divsChild>
        </w:div>
        <w:div w:id="684744908">
          <w:marLeft w:val="0"/>
          <w:marRight w:val="0"/>
          <w:marTop w:val="0"/>
          <w:marBottom w:val="0"/>
          <w:divBdr>
            <w:top w:val="none" w:sz="0" w:space="0" w:color="auto"/>
            <w:left w:val="none" w:sz="0" w:space="0" w:color="auto"/>
            <w:bottom w:val="none" w:sz="0" w:space="0" w:color="auto"/>
            <w:right w:val="none" w:sz="0" w:space="0" w:color="auto"/>
          </w:divBdr>
          <w:divsChild>
            <w:div w:id="1331058839">
              <w:marLeft w:val="0"/>
              <w:marRight w:val="0"/>
              <w:marTop w:val="0"/>
              <w:marBottom w:val="0"/>
              <w:divBdr>
                <w:top w:val="none" w:sz="0" w:space="0" w:color="auto"/>
                <w:left w:val="none" w:sz="0" w:space="0" w:color="auto"/>
                <w:bottom w:val="none" w:sz="0" w:space="0" w:color="auto"/>
                <w:right w:val="none" w:sz="0" w:space="0" w:color="auto"/>
              </w:divBdr>
            </w:div>
          </w:divsChild>
        </w:div>
        <w:div w:id="1618560428">
          <w:marLeft w:val="0"/>
          <w:marRight w:val="0"/>
          <w:marTop w:val="0"/>
          <w:marBottom w:val="0"/>
          <w:divBdr>
            <w:top w:val="none" w:sz="0" w:space="0" w:color="auto"/>
            <w:left w:val="none" w:sz="0" w:space="0" w:color="auto"/>
            <w:bottom w:val="none" w:sz="0" w:space="0" w:color="auto"/>
            <w:right w:val="none" w:sz="0" w:space="0" w:color="auto"/>
          </w:divBdr>
          <w:divsChild>
            <w:div w:id="620723942">
              <w:marLeft w:val="0"/>
              <w:marRight w:val="0"/>
              <w:marTop w:val="0"/>
              <w:marBottom w:val="0"/>
              <w:divBdr>
                <w:top w:val="none" w:sz="0" w:space="0" w:color="auto"/>
                <w:left w:val="none" w:sz="0" w:space="0" w:color="auto"/>
                <w:bottom w:val="none" w:sz="0" w:space="0" w:color="auto"/>
                <w:right w:val="none" w:sz="0" w:space="0" w:color="auto"/>
              </w:divBdr>
            </w:div>
          </w:divsChild>
        </w:div>
        <w:div w:id="2081631012">
          <w:marLeft w:val="0"/>
          <w:marRight w:val="0"/>
          <w:marTop w:val="0"/>
          <w:marBottom w:val="0"/>
          <w:divBdr>
            <w:top w:val="none" w:sz="0" w:space="0" w:color="auto"/>
            <w:left w:val="none" w:sz="0" w:space="0" w:color="auto"/>
            <w:bottom w:val="none" w:sz="0" w:space="0" w:color="auto"/>
            <w:right w:val="none" w:sz="0" w:space="0" w:color="auto"/>
          </w:divBdr>
          <w:divsChild>
            <w:div w:id="2004551930">
              <w:marLeft w:val="0"/>
              <w:marRight w:val="0"/>
              <w:marTop w:val="0"/>
              <w:marBottom w:val="0"/>
              <w:divBdr>
                <w:top w:val="none" w:sz="0" w:space="0" w:color="auto"/>
                <w:left w:val="none" w:sz="0" w:space="0" w:color="auto"/>
                <w:bottom w:val="none" w:sz="0" w:space="0" w:color="auto"/>
                <w:right w:val="none" w:sz="0" w:space="0" w:color="auto"/>
              </w:divBdr>
            </w:div>
          </w:divsChild>
        </w:div>
        <w:div w:id="1205750016">
          <w:marLeft w:val="0"/>
          <w:marRight w:val="0"/>
          <w:marTop w:val="0"/>
          <w:marBottom w:val="0"/>
          <w:divBdr>
            <w:top w:val="none" w:sz="0" w:space="0" w:color="auto"/>
            <w:left w:val="none" w:sz="0" w:space="0" w:color="auto"/>
            <w:bottom w:val="none" w:sz="0" w:space="0" w:color="auto"/>
            <w:right w:val="none" w:sz="0" w:space="0" w:color="auto"/>
          </w:divBdr>
          <w:divsChild>
            <w:div w:id="173768575">
              <w:marLeft w:val="0"/>
              <w:marRight w:val="0"/>
              <w:marTop w:val="0"/>
              <w:marBottom w:val="0"/>
              <w:divBdr>
                <w:top w:val="none" w:sz="0" w:space="0" w:color="auto"/>
                <w:left w:val="none" w:sz="0" w:space="0" w:color="auto"/>
                <w:bottom w:val="none" w:sz="0" w:space="0" w:color="auto"/>
                <w:right w:val="none" w:sz="0" w:space="0" w:color="auto"/>
              </w:divBdr>
            </w:div>
          </w:divsChild>
        </w:div>
        <w:div w:id="444425828">
          <w:marLeft w:val="0"/>
          <w:marRight w:val="0"/>
          <w:marTop w:val="0"/>
          <w:marBottom w:val="0"/>
          <w:divBdr>
            <w:top w:val="none" w:sz="0" w:space="0" w:color="auto"/>
            <w:left w:val="none" w:sz="0" w:space="0" w:color="auto"/>
            <w:bottom w:val="none" w:sz="0" w:space="0" w:color="auto"/>
            <w:right w:val="none" w:sz="0" w:space="0" w:color="auto"/>
          </w:divBdr>
          <w:divsChild>
            <w:div w:id="423111770">
              <w:marLeft w:val="0"/>
              <w:marRight w:val="0"/>
              <w:marTop w:val="0"/>
              <w:marBottom w:val="0"/>
              <w:divBdr>
                <w:top w:val="none" w:sz="0" w:space="0" w:color="auto"/>
                <w:left w:val="none" w:sz="0" w:space="0" w:color="auto"/>
                <w:bottom w:val="none" w:sz="0" w:space="0" w:color="auto"/>
                <w:right w:val="none" w:sz="0" w:space="0" w:color="auto"/>
              </w:divBdr>
            </w:div>
          </w:divsChild>
        </w:div>
        <w:div w:id="13003637">
          <w:marLeft w:val="0"/>
          <w:marRight w:val="0"/>
          <w:marTop w:val="0"/>
          <w:marBottom w:val="0"/>
          <w:divBdr>
            <w:top w:val="none" w:sz="0" w:space="0" w:color="auto"/>
            <w:left w:val="none" w:sz="0" w:space="0" w:color="auto"/>
            <w:bottom w:val="none" w:sz="0" w:space="0" w:color="auto"/>
            <w:right w:val="none" w:sz="0" w:space="0" w:color="auto"/>
          </w:divBdr>
          <w:divsChild>
            <w:div w:id="513425119">
              <w:marLeft w:val="0"/>
              <w:marRight w:val="0"/>
              <w:marTop w:val="0"/>
              <w:marBottom w:val="0"/>
              <w:divBdr>
                <w:top w:val="none" w:sz="0" w:space="0" w:color="auto"/>
                <w:left w:val="none" w:sz="0" w:space="0" w:color="auto"/>
                <w:bottom w:val="none" w:sz="0" w:space="0" w:color="auto"/>
                <w:right w:val="none" w:sz="0" w:space="0" w:color="auto"/>
              </w:divBdr>
            </w:div>
          </w:divsChild>
        </w:div>
        <w:div w:id="171068492">
          <w:marLeft w:val="0"/>
          <w:marRight w:val="0"/>
          <w:marTop w:val="0"/>
          <w:marBottom w:val="0"/>
          <w:divBdr>
            <w:top w:val="none" w:sz="0" w:space="0" w:color="auto"/>
            <w:left w:val="none" w:sz="0" w:space="0" w:color="auto"/>
            <w:bottom w:val="none" w:sz="0" w:space="0" w:color="auto"/>
            <w:right w:val="none" w:sz="0" w:space="0" w:color="auto"/>
          </w:divBdr>
          <w:divsChild>
            <w:div w:id="186523153">
              <w:marLeft w:val="0"/>
              <w:marRight w:val="0"/>
              <w:marTop w:val="0"/>
              <w:marBottom w:val="0"/>
              <w:divBdr>
                <w:top w:val="none" w:sz="0" w:space="0" w:color="auto"/>
                <w:left w:val="none" w:sz="0" w:space="0" w:color="auto"/>
                <w:bottom w:val="none" w:sz="0" w:space="0" w:color="auto"/>
                <w:right w:val="none" w:sz="0" w:space="0" w:color="auto"/>
              </w:divBdr>
            </w:div>
          </w:divsChild>
        </w:div>
        <w:div w:id="1200360814">
          <w:marLeft w:val="0"/>
          <w:marRight w:val="0"/>
          <w:marTop w:val="0"/>
          <w:marBottom w:val="0"/>
          <w:divBdr>
            <w:top w:val="none" w:sz="0" w:space="0" w:color="auto"/>
            <w:left w:val="none" w:sz="0" w:space="0" w:color="auto"/>
            <w:bottom w:val="none" w:sz="0" w:space="0" w:color="auto"/>
            <w:right w:val="none" w:sz="0" w:space="0" w:color="auto"/>
          </w:divBdr>
          <w:divsChild>
            <w:div w:id="82798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rd.Feder\Documents\Custom%20Office%20Templates\12pt%20exactly%20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71EA8-91AA-4342-883C-1282861D4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\Users\Richard.Feder\Documents\Custom Office Templates\12pt exactly 15.dotm</Template>
  <TotalTime>0</TotalTime>
  <Pages>10</Pages>
  <Words>4473</Words>
  <Characters>22276</Characters>
  <Application>Microsoft Macintosh Word</Application>
  <DocSecurity>0</DocSecurity>
  <Lines>518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Feder</dc:creator>
  <cp:keywords/>
  <dc:description/>
  <cp:lastModifiedBy>Jake Blumgart</cp:lastModifiedBy>
  <cp:revision>2</cp:revision>
  <cp:lastPrinted>2018-09-27T13:48:00Z</cp:lastPrinted>
  <dcterms:created xsi:type="dcterms:W3CDTF">2018-09-28T01:25:00Z</dcterms:created>
  <dcterms:modified xsi:type="dcterms:W3CDTF">2018-09-28T01:25:00Z</dcterms:modified>
</cp:coreProperties>
</file>