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1B" w:rsidRPr="00C73092" w:rsidRDefault="00440C1B" w:rsidP="00440C1B">
      <w:pPr>
        <w:rPr>
          <w:rFonts w:asciiTheme="majorHAnsi" w:hAnsiTheme="majorHAnsi"/>
          <w:b/>
          <w:smallCaps/>
          <w:sz w:val="40"/>
        </w:rPr>
      </w:pPr>
      <w:bookmarkStart w:id="0" w:name="_GoBack"/>
      <w:bookmarkEnd w:id="0"/>
      <w:r w:rsidRPr="00C73092">
        <w:rPr>
          <w:rFonts w:asciiTheme="majorHAnsi" w:hAnsiTheme="majorHAnsi"/>
          <w:b/>
          <w:smallCaps/>
          <w:sz w:val="40"/>
        </w:rPr>
        <w:t>Memorandum</w:t>
      </w:r>
    </w:p>
    <w:p w:rsidR="00440C1B" w:rsidRPr="00C73092" w:rsidRDefault="000356AA" w:rsidP="00440C1B">
      <w:pPr>
        <w:jc w:val="righ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fldChar w:fldCharType="begin"/>
      </w:r>
      <w:r>
        <w:rPr>
          <w:rFonts w:asciiTheme="majorHAnsi" w:hAnsiTheme="majorHAnsi"/>
          <w:b/>
          <w:sz w:val="22"/>
        </w:rPr>
        <w:instrText xml:space="preserve"> = </w:instrText>
      </w:r>
      <w:r>
        <w:rPr>
          <w:rFonts w:asciiTheme="majorHAnsi" w:hAnsiTheme="majorHAnsi"/>
          <w:b/>
          <w:sz w:val="22"/>
        </w:rPr>
        <w:fldChar w:fldCharType="separate"/>
      </w:r>
      <w:r w:rsidR="002E7FD0">
        <w:rPr>
          <w:rFonts w:asciiTheme="majorHAnsi" w:hAnsiTheme="majorHAnsi"/>
          <w:b/>
          <w:noProof/>
          <w:sz w:val="22"/>
        </w:rPr>
        <w:t>September 27</w:t>
      </w:r>
      <w:r>
        <w:rPr>
          <w:rFonts w:asciiTheme="majorHAnsi" w:hAnsiTheme="majorHAnsi"/>
          <w:b/>
          <w:noProof/>
          <w:sz w:val="22"/>
        </w:rPr>
        <w:t>, 2018</w:t>
      </w:r>
      <w:r>
        <w:rPr>
          <w:rFonts w:asciiTheme="majorHAnsi" w:hAnsiTheme="majorHAnsi"/>
          <w:b/>
          <w:sz w:val="22"/>
        </w:rPr>
        <w:fldChar w:fldCharType="end"/>
      </w:r>
    </w:p>
    <w:p w:rsidR="00440C1B" w:rsidRPr="00C73092" w:rsidRDefault="00440C1B" w:rsidP="00440C1B">
      <w:pPr>
        <w:rPr>
          <w:rFonts w:asciiTheme="majorHAnsi" w:hAnsiTheme="majorHAns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85"/>
        <w:gridCol w:w="7353"/>
      </w:tblGrid>
      <w:tr w:rsidR="00BF0F8A" w:rsidRPr="00C73092" w:rsidTr="00D97C7B">
        <w:trPr>
          <w:trHeight w:val="405"/>
        </w:trPr>
        <w:tc>
          <w:tcPr>
            <w:tcW w:w="1485" w:type="dxa"/>
          </w:tcPr>
          <w:p w:rsidR="00BF0F8A" w:rsidRPr="00C73092" w:rsidRDefault="00BF0F8A" w:rsidP="00BF0F8A">
            <w:pPr>
              <w:rPr>
                <w:rFonts w:asciiTheme="majorHAnsi" w:hAnsiTheme="majorHAnsi"/>
                <w:b/>
                <w:smallCaps/>
                <w:sz w:val="22"/>
              </w:rPr>
            </w:pPr>
            <w:r w:rsidRPr="00C73092">
              <w:rPr>
                <w:rFonts w:asciiTheme="majorHAnsi" w:hAnsiTheme="majorHAnsi"/>
                <w:b/>
                <w:smallCaps/>
                <w:sz w:val="22"/>
              </w:rPr>
              <w:t>From:</w:t>
            </w:r>
          </w:p>
        </w:tc>
        <w:tc>
          <w:tcPr>
            <w:tcW w:w="7353" w:type="dxa"/>
          </w:tcPr>
          <w:p w:rsidR="00BF0F8A" w:rsidRPr="00C73092" w:rsidRDefault="00BF0F8A" w:rsidP="00BF0F8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Councilwoman Maria D. </w:t>
            </w:r>
            <w:proofErr w:type="spellStart"/>
            <w:r>
              <w:rPr>
                <w:rFonts w:asciiTheme="majorHAnsi" w:hAnsiTheme="majorHAnsi"/>
                <w:sz w:val="22"/>
              </w:rPr>
              <w:t>Quiñones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Sánchez</w:t>
            </w:r>
          </w:p>
        </w:tc>
      </w:tr>
      <w:tr w:rsidR="00440C1B" w:rsidRPr="00C73092" w:rsidTr="0070390D">
        <w:trPr>
          <w:trHeight w:val="412"/>
        </w:trPr>
        <w:tc>
          <w:tcPr>
            <w:tcW w:w="1485" w:type="dxa"/>
          </w:tcPr>
          <w:p w:rsidR="00440C1B" w:rsidRPr="00C73092" w:rsidRDefault="00440C1B" w:rsidP="0070390D">
            <w:pPr>
              <w:rPr>
                <w:rFonts w:asciiTheme="majorHAnsi" w:hAnsiTheme="majorHAnsi"/>
                <w:b/>
                <w:smallCaps/>
                <w:sz w:val="22"/>
              </w:rPr>
            </w:pPr>
            <w:r w:rsidRPr="00C73092">
              <w:rPr>
                <w:rFonts w:asciiTheme="majorHAnsi" w:hAnsiTheme="majorHAnsi"/>
                <w:b/>
                <w:smallCaps/>
                <w:sz w:val="22"/>
              </w:rPr>
              <w:t>Re:</w:t>
            </w:r>
          </w:p>
        </w:tc>
        <w:tc>
          <w:tcPr>
            <w:tcW w:w="7353" w:type="dxa"/>
          </w:tcPr>
          <w:p w:rsidR="00440C1B" w:rsidRPr="004F45F8" w:rsidRDefault="00872F53" w:rsidP="0070390D">
            <w:pPr>
              <w:rPr>
                <w:rFonts w:asciiTheme="majorHAnsi" w:hAnsiTheme="majorHAnsi"/>
                <w:sz w:val="22"/>
              </w:rPr>
            </w:pPr>
            <w:r w:rsidRPr="004F45F8">
              <w:rPr>
                <w:rFonts w:asciiTheme="majorHAnsi" w:hAnsiTheme="majorHAnsi"/>
                <w:sz w:val="22"/>
              </w:rPr>
              <w:t>Bill No. 170678</w:t>
            </w:r>
            <w:r w:rsidR="009244F1" w:rsidRPr="004F45F8">
              <w:rPr>
                <w:rFonts w:asciiTheme="majorHAnsi" w:hAnsiTheme="majorHAnsi"/>
                <w:sz w:val="22"/>
              </w:rPr>
              <w:t>-A</w:t>
            </w:r>
          </w:p>
        </w:tc>
      </w:tr>
    </w:tbl>
    <w:p w:rsidR="00440C1B" w:rsidRPr="00C73092" w:rsidRDefault="00440C1B" w:rsidP="00440C1B">
      <w:pPr>
        <w:pBdr>
          <w:bottom w:val="single" w:sz="6" w:space="1" w:color="auto"/>
        </w:pBdr>
        <w:tabs>
          <w:tab w:val="left" w:pos="1440"/>
        </w:tabs>
        <w:rPr>
          <w:rFonts w:asciiTheme="majorHAnsi" w:hAnsiTheme="majorHAnsi"/>
          <w:sz w:val="18"/>
        </w:rPr>
      </w:pPr>
    </w:p>
    <w:p w:rsidR="00440C1B" w:rsidRPr="00C73092" w:rsidRDefault="00440C1B" w:rsidP="00440C1B">
      <w:pPr>
        <w:tabs>
          <w:tab w:val="left" w:pos="1440"/>
        </w:tabs>
        <w:rPr>
          <w:rFonts w:asciiTheme="majorHAnsi" w:hAnsiTheme="majorHAnsi"/>
          <w:sz w:val="16"/>
        </w:rPr>
      </w:pPr>
    </w:p>
    <w:p w:rsidR="00D97C7B" w:rsidRPr="00C73092" w:rsidRDefault="00D97C7B" w:rsidP="00D94548">
      <w:pPr>
        <w:tabs>
          <w:tab w:val="left" w:pos="1440"/>
        </w:tabs>
        <w:spacing w:afterLines="80" w:after="192" w:line="264" w:lineRule="auto"/>
        <w:rPr>
          <w:rFonts w:asciiTheme="majorHAnsi" w:hAnsiTheme="majorHAnsi"/>
          <w:sz w:val="22"/>
        </w:rPr>
      </w:pPr>
      <w:r w:rsidRPr="00C73092">
        <w:rPr>
          <w:rFonts w:asciiTheme="majorHAnsi" w:hAnsiTheme="majorHAnsi"/>
          <w:sz w:val="22"/>
        </w:rPr>
        <w:t xml:space="preserve">Please find below of </w:t>
      </w:r>
      <w:r w:rsidR="009244F1">
        <w:rPr>
          <w:rFonts w:asciiTheme="majorHAnsi" w:hAnsiTheme="majorHAnsi"/>
          <w:sz w:val="22"/>
        </w:rPr>
        <w:t xml:space="preserve">Bill No. </w:t>
      </w:r>
      <w:r w:rsidR="002E7FD0">
        <w:rPr>
          <w:rFonts w:asciiTheme="majorHAnsi" w:hAnsiTheme="majorHAnsi"/>
          <w:sz w:val="22"/>
        </w:rPr>
        <w:t>170678, as amended on September 27</w:t>
      </w:r>
      <w:r w:rsidR="009244F1">
        <w:rPr>
          <w:rFonts w:asciiTheme="majorHAnsi" w:hAnsiTheme="majorHAnsi"/>
          <w:sz w:val="22"/>
        </w:rPr>
        <w:t>, 2018.  The bill become</w:t>
      </w:r>
      <w:r w:rsidR="004F45F8">
        <w:rPr>
          <w:rFonts w:asciiTheme="majorHAnsi" w:hAnsiTheme="majorHAnsi"/>
          <w:sz w:val="22"/>
        </w:rPr>
        <w:t>s</w:t>
      </w:r>
      <w:r w:rsidR="009244F1">
        <w:rPr>
          <w:rFonts w:asciiTheme="majorHAnsi" w:hAnsiTheme="majorHAnsi"/>
          <w:sz w:val="22"/>
        </w:rPr>
        <w:t xml:space="preserve"> effective immediately if </w:t>
      </w:r>
      <w:r w:rsidR="004F45F8">
        <w:rPr>
          <w:rFonts w:asciiTheme="majorHAnsi" w:hAnsiTheme="majorHAnsi"/>
          <w:sz w:val="22"/>
        </w:rPr>
        <w:t>signed into law by the Mayor of Philadelphia.</w:t>
      </w:r>
    </w:p>
    <w:p w:rsidR="00D97C7B" w:rsidRPr="00C73092" w:rsidRDefault="00872F53" w:rsidP="00D94548">
      <w:pPr>
        <w:pStyle w:val="ListParagraph"/>
        <w:numPr>
          <w:ilvl w:val="0"/>
          <w:numId w:val="2"/>
        </w:numPr>
        <w:tabs>
          <w:tab w:val="left" w:pos="1440"/>
        </w:tabs>
        <w:spacing w:afterLines="80" w:after="192" w:line="264" w:lineRule="auto"/>
        <w:contextualSpacing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 xml:space="preserve">The </w:t>
      </w:r>
      <w:r w:rsidR="009244F1">
        <w:rPr>
          <w:rFonts w:asciiTheme="majorHAnsi" w:hAnsiTheme="majorHAnsi"/>
          <w:sz w:val="22"/>
        </w:rPr>
        <w:t xml:space="preserve">legislation, as amended, does </w:t>
      </w:r>
      <w:r w:rsidR="009244F1">
        <w:rPr>
          <w:rFonts w:asciiTheme="majorHAnsi" w:hAnsiTheme="majorHAnsi"/>
          <w:i/>
          <w:sz w:val="22"/>
        </w:rPr>
        <w:t xml:space="preserve">NOT </w:t>
      </w:r>
      <w:r w:rsidR="009244F1">
        <w:rPr>
          <w:rFonts w:asciiTheme="majorHAnsi" w:hAnsiTheme="majorHAnsi"/>
          <w:sz w:val="22"/>
        </w:rPr>
        <w:t>include</w:t>
      </w:r>
      <w:r>
        <w:rPr>
          <w:rFonts w:asciiTheme="majorHAnsi" w:hAnsiTheme="majorHAnsi"/>
          <w:sz w:val="22"/>
        </w:rPr>
        <w:t xml:space="preserve"> a</w:t>
      </w:r>
      <w:r w:rsidR="009244F1">
        <w:rPr>
          <w:rFonts w:asciiTheme="majorHAnsi" w:hAnsiTheme="majorHAnsi"/>
          <w:sz w:val="22"/>
        </w:rPr>
        <w:t>ny</w:t>
      </w:r>
      <w:r>
        <w:rPr>
          <w:rFonts w:asciiTheme="majorHAnsi" w:hAnsiTheme="majorHAnsi"/>
          <w:sz w:val="22"/>
        </w:rPr>
        <w:t xml:space="preserve"> mandate that</w:t>
      </w:r>
      <w:r w:rsidR="00D97C7B" w:rsidRPr="00C73092">
        <w:rPr>
          <w:rFonts w:asciiTheme="majorHAnsi" w:hAnsiTheme="majorHAnsi"/>
          <w:sz w:val="22"/>
        </w:rPr>
        <w:t xml:space="preserve"> developers of certain residential housing </w:t>
      </w:r>
      <w:r w:rsidR="00B50B4F" w:rsidRPr="00C73092">
        <w:rPr>
          <w:rFonts w:asciiTheme="majorHAnsi" w:hAnsiTheme="majorHAnsi"/>
          <w:sz w:val="22"/>
        </w:rPr>
        <w:t>developments</w:t>
      </w:r>
      <w:r w:rsidR="00D97C7B" w:rsidRPr="00C73092">
        <w:rPr>
          <w:rFonts w:asciiTheme="majorHAnsi" w:hAnsiTheme="majorHAnsi"/>
          <w:sz w:val="22"/>
        </w:rPr>
        <w:t xml:space="preserve"> </w:t>
      </w:r>
      <w:proofErr w:type="gramStart"/>
      <w:r w:rsidR="00B50B4F" w:rsidRPr="00C73092">
        <w:rPr>
          <w:rFonts w:asciiTheme="majorHAnsi" w:hAnsiTheme="majorHAnsi"/>
          <w:sz w:val="22"/>
        </w:rPr>
        <w:t xml:space="preserve">either </w:t>
      </w:r>
      <w:r w:rsidR="00D97C7B" w:rsidRPr="00C73092">
        <w:rPr>
          <w:rFonts w:asciiTheme="majorHAnsi" w:hAnsiTheme="majorHAnsi"/>
          <w:sz w:val="22"/>
        </w:rPr>
        <w:t>create and</w:t>
      </w:r>
      <w:proofErr w:type="gramEnd"/>
      <w:r w:rsidR="00D97C7B" w:rsidRPr="00C73092">
        <w:rPr>
          <w:rFonts w:asciiTheme="majorHAnsi" w:hAnsiTheme="majorHAnsi"/>
          <w:sz w:val="22"/>
        </w:rPr>
        <w:t xml:space="preserve"> pr</w:t>
      </w:r>
      <w:r w:rsidR="00B50B4F" w:rsidRPr="00C73092">
        <w:rPr>
          <w:rFonts w:asciiTheme="majorHAnsi" w:hAnsiTheme="majorHAnsi"/>
          <w:sz w:val="22"/>
        </w:rPr>
        <w:t>eserve affordable housing units</w:t>
      </w:r>
      <w:r w:rsidR="00D97C7B" w:rsidRPr="00C73092">
        <w:rPr>
          <w:rFonts w:asciiTheme="majorHAnsi" w:hAnsiTheme="majorHAnsi"/>
          <w:sz w:val="22"/>
        </w:rPr>
        <w:t xml:space="preserve"> or tender payment to the Philadelphia Housing Trust Fund</w:t>
      </w:r>
      <w:r w:rsidR="00974039" w:rsidRPr="00C73092">
        <w:rPr>
          <w:rFonts w:asciiTheme="majorHAnsi" w:hAnsiTheme="majorHAnsi"/>
          <w:sz w:val="22"/>
        </w:rPr>
        <w:t xml:space="preserve"> (PHTF)</w:t>
      </w:r>
      <w:r w:rsidR="00D97C7B" w:rsidRPr="00C73092">
        <w:rPr>
          <w:rFonts w:asciiTheme="majorHAnsi" w:hAnsiTheme="majorHAnsi"/>
          <w:sz w:val="22"/>
        </w:rPr>
        <w:t xml:space="preserve">. </w:t>
      </w:r>
    </w:p>
    <w:p w:rsidR="00D97C7B" w:rsidRPr="00C73092" w:rsidRDefault="00D97C7B" w:rsidP="00D94548">
      <w:pPr>
        <w:pStyle w:val="ListParagraph"/>
        <w:numPr>
          <w:ilvl w:val="0"/>
          <w:numId w:val="2"/>
        </w:numPr>
        <w:tabs>
          <w:tab w:val="left" w:pos="1440"/>
        </w:tabs>
        <w:spacing w:afterLines="80" w:after="192" w:line="264" w:lineRule="auto"/>
        <w:contextualSpacing w:val="0"/>
        <w:rPr>
          <w:rFonts w:asciiTheme="majorHAnsi" w:hAnsiTheme="majorHAnsi"/>
          <w:sz w:val="22"/>
        </w:rPr>
      </w:pPr>
      <w:r w:rsidRPr="00C73092">
        <w:rPr>
          <w:rFonts w:asciiTheme="majorHAnsi" w:hAnsiTheme="majorHAnsi"/>
          <w:sz w:val="22"/>
        </w:rPr>
        <w:t xml:space="preserve">The </w:t>
      </w:r>
      <w:r w:rsidR="009244F1">
        <w:rPr>
          <w:rFonts w:asciiTheme="majorHAnsi" w:hAnsiTheme="majorHAnsi"/>
          <w:sz w:val="22"/>
        </w:rPr>
        <w:t>legislation</w:t>
      </w:r>
      <w:r w:rsidR="002E7FD0">
        <w:rPr>
          <w:rFonts w:asciiTheme="majorHAnsi" w:hAnsiTheme="majorHAnsi"/>
          <w:sz w:val="22"/>
        </w:rPr>
        <w:t xml:space="preserve"> maintains </w:t>
      </w:r>
      <w:r w:rsidR="007744E8" w:rsidRPr="00C73092">
        <w:rPr>
          <w:rFonts w:asciiTheme="majorHAnsi" w:hAnsiTheme="majorHAnsi"/>
          <w:sz w:val="22"/>
        </w:rPr>
        <w:t>the</w:t>
      </w:r>
      <w:r w:rsidR="007744E8">
        <w:rPr>
          <w:rFonts w:asciiTheme="majorHAnsi" w:hAnsiTheme="majorHAnsi"/>
          <w:sz w:val="22"/>
        </w:rPr>
        <w:t xml:space="preserve"> following voluntary </w:t>
      </w:r>
      <w:r w:rsidR="007744E8" w:rsidRPr="00C73092">
        <w:rPr>
          <w:rFonts w:asciiTheme="majorHAnsi" w:hAnsiTheme="majorHAnsi"/>
          <w:sz w:val="22"/>
        </w:rPr>
        <w:t>zoning bonuses</w:t>
      </w:r>
      <w:r w:rsidR="007744E8">
        <w:rPr>
          <w:rFonts w:asciiTheme="majorHAnsi" w:hAnsiTheme="majorHAnsi"/>
          <w:sz w:val="22"/>
        </w:rPr>
        <w:t>,</w:t>
      </w:r>
      <w:r w:rsidR="007744E8" w:rsidRPr="00C73092">
        <w:rPr>
          <w:rStyle w:val="FootnoteReference"/>
          <w:rFonts w:asciiTheme="majorHAnsi" w:hAnsiTheme="majorHAnsi"/>
        </w:rPr>
        <w:footnoteReference w:id="1"/>
      </w:r>
      <w:r w:rsidRPr="00C73092">
        <w:rPr>
          <w:rFonts w:asciiTheme="majorHAnsi" w:hAnsiTheme="majorHAnsi"/>
          <w:sz w:val="22"/>
        </w:rPr>
        <w:t xml:space="preserve"> </w:t>
      </w:r>
      <w:r w:rsidR="002E7FD0">
        <w:rPr>
          <w:rFonts w:asciiTheme="majorHAnsi" w:hAnsiTheme="majorHAnsi"/>
          <w:sz w:val="22"/>
        </w:rPr>
        <w:t xml:space="preserve">originally </w:t>
      </w:r>
      <w:r w:rsidR="00E14E6F">
        <w:rPr>
          <w:rFonts w:asciiTheme="majorHAnsi" w:hAnsiTheme="majorHAnsi"/>
          <w:sz w:val="22"/>
        </w:rPr>
        <w:t>passed</w:t>
      </w:r>
      <w:r w:rsidR="002E7FD0">
        <w:rPr>
          <w:rFonts w:asciiTheme="majorHAnsi" w:hAnsiTheme="majorHAnsi"/>
          <w:sz w:val="22"/>
        </w:rPr>
        <w:t xml:space="preserve"> on July 21, </w:t>
      </w:r>
      <w:r w:rsidR="007744E8">
        <w:rPr>
          <w:rFonts w:asciiTheme="majorHAnsi" w:hAnsiTheme="majorHAnsi"/>
          <w:sz w:val="22"/>
        </w:rPr>
        <w:t>for</w:t>
      </w:r>
      <w:r w:rsidR="007744E8">
        <w:rPr>
          <w:rFonts w:asciiTheme="majorHAnsi" w:hAnsiTheme="majorHAnsi"/>
        </w:rPr>
        <w:t xml:space="preserve"> </w:t>
      </w:r>
      <w:r w:rsidR="00872F53">
        <w:rPr>
          <w:rFonts w:asciiTheme="majorHAnsi" w:hAnsiTheme="majorHAnsi"/>
          <w:sz w:val="22"/>
        </w:rPr>
        <w:t>building permit applicants</w:t>
      </w:r>
      <w:r w:rsidR="00C73092">
        <w:rPr>
          <w:rFonts w:asciiTheme="majorHAnsi" w:hAnsiTheme="majorHAnsi"/>
          <w:sz w:val="22"/>
        </w:rPr>
        <w:t xml:space="preserve"> who</w:t>
      </w:r>
      <w:r w:rsidR="00872F53">
        <w:rPr>
          <w:rFonts w:asciiTheme="majorHAnsi" w:hAnsiTheme="majorHAnsi"/>
          <w:sz w:val="22"/>
        </w:rPr>
        <w:t xml:space="preserve"> </w:t>
      </w:r>
      <w:r w:rsidR="00B50B4F" w:rsidRPr="00C73092">
        <w:rPr>
          <w:rFonts w:asciiTheme="majorHAnsi" w:hAnsiTheme="majorHAnsi"/>
          <w:sz w:val="22"/>
        </w:rPr>
        <w:t>either record a covenant to</w:t>
      </w:r>
      <w:r w:rsidRPr="00C73092">
        <w:rPr>
          <w:rFonts w:asciiTheme="majorHAnsi" w:hAnsiTheme="majorHAnsi"/>
          <w:sz w:val="22"/>
        </w:rPr>
        <w:t xml:space="preserve"> create and preserve </w:t>
      </w:r>
      <w:r w:rsidR="00217CE9" w:rsidRPr="00C73092">
        <w:rPr>
          <w:rFonts w:asciiTheme="majorHAnsi" w:hAnsiTheme="majorHAnsi"/>
          <w:sz w:val="22"/>
        </w:rPr>
        <w:t xml:space="preserve">at least </w:t>
      </w:r>
      <w:r w:rsidR="007744E8">
        <w:rPr>
          <w:rFonts w:asciiTheme="majorHAnsi" w:hAnsiTheme="majorHAnsi"/>
          <w:sz w:val="22"/>
        </w:rPr>
        <w:t>10%</w:t>
      </w:r>
      <w:r w:rsidR="00217CE9" w:rsidRPr="00C73092">
        <w:rPr>
          <w:rFonts w:asciiTheme="majorHAnsi" w:hAnsiTheme="majorHAnsi"/>
          <w:sz w:val="22"/>
        </w:rPr>
        <w:t xml:space="preserve"> of new units at </w:t>
      </w:r>
      <w:r w:rsidR="00B50B4F" w:rsidRPr="00C73092">
        <w:rPr>
          <w:rFonts w:asciiTheme="majorHAnsi" w:hAnsiTheme="majorHAnsi"/>
          <w:sz w:val="22"/>
        </w:rPr>
        <w:t>affordable</w:t>
      </w:r>
      <w:r w:rsidR="003550FB" w:rsidRPr="00C73092">
        <w:rPr>
          <w:rFonts w:asciiTheme="majorHAnsi" w:hAnsiTheme="majorHAnsi"/>
          <w:sz w:val="22"/>
        </w:rPr>
        <w:t xml:space="preserve"> </w:t>
      </w:r>
      <w:r w:rsidR="00217CE9" w:rsidRPr="00C73092">
        <w:rPr>
          <w:rFonts w:asciiTheme="majorHAnsi" w:hAnsiTheme="majorHAnsi"/>
          <w:sz w:val="22"/>
        </w:rPr>
        <w:t>rates</w:t>
      </w:r>
      <w:r w:rsidR="003550FB" w:rsidRPr="00C73092">
        <w:rPr>
          <w:rFonts w:asciiTheme="majorHAnsi" w:hAnsiTheme="majorHAnsi"/>
          <w:sz w:val="22"/>
        </w:rPr>
        <w:t xml:space="preserve"> or </w:t>
      </w:r>
      <w:r w:rsidR="00B50B4F" w:rsidRPr="00C73092">
        <w:rPr>
          <w:rFonts w:asciiTheme="majorHAnsi" w:hAnsiTheme="majorHAnsi"/>
          <w:sz w:val="22"/>
        </w:rPr>
        <w:t>tender payment</w:t>
      </w:r>
      <w:r w:rsidR="003550FB" w:rsidRPr="00C73092">
        <w:rPr>
          <w:rFonts w:asciiTheme="majorHAnsi" w:hAnsiTheme="majorHAnsi"/>
          <w:sz w:val="22"/>
        </w:rPr>
        <w:t xml:space="preserve"> to the </w:t>
      </w:r>
      <w:r w:rsidR="00974039" w:rsidRPr="00C73092">
        <w:rPr>
          <w:rFonts w:asciiTheme="majorHAnsi" w:hAnsiTheme="majorHAnsi"/>
          <w:sz w:val="22"/>
        </w:rPr>
        <w:t>PHTF</w:t>
      </w:r>
      <w:r w:rsidR="003550FB" w:rsidRPr="00C73092">
        <w:rPr>
          <w:rFonts w:asciiTheme="majorHAnsi" w:hAnsiTheme="majorHAnsi"/>
          <w:sz w:val="22"/>
        </w:rPr>
        <w:t xml:space="preserve"> </w:t>
      </w:r>
      <w:r w:rsidR="00B50B4F" w:rsidRPr="00C73092">
        <w:rPr>
          <w:rFonts w:asciiTheme="majorHAnsi" w:hAnsiTheme="majorHAnsi"/>
          <w:sz w:val="22"/>
        </w:rPr>
        <w:t xml:space="preserve">at </w:t>
      </w:r>
      <w:r w:rsidR="00C73092">
        <w:rPr>
          <w:rFonts w:asciiTheme="majorHAnsi" w:hAnsiTheme="majorHAnsi"/>
          <w:sz w:val="22"/>
        </w:rPr>
        <w:t>rates specified on page 2</w:t>
      </w:r>
      <w:r w:rsidR="00217CE9" w:rsidRPr="00C73092">
        <w:rPr>
          <w:rFonts w:asciiTheme="majorHAnsi" w:hAnsiTheme="majorHAnsi"/>
          <w:sz w:val="22"/>
        </w:rPr>
        <w:t>.</w:t>
      </w:r>
    </w:p>
    <w:tbl>
      <w:tblPr>
        <w:tblStyle w:val="TableGrid"/>
        <w:tblpPr w:leftFromText="180" w:rightFromText="180" w:vertAnchor="text" w:horzAnchor="page" w:tblpX="1921" w:tblpY="105"/>
        <w:tblW w:w="0" w:type="auto"/>
        <w:tblLook w:val="04A0" w:firstRow="1" w:lastRow="0" w:firstColumn="1" w:lastColumn="0" w:noHBand="0" w:noVBand="1"/>
      </w:tblPr>
      <w:tblGrid>
        <w:gridCol w:w="1595"/>
        <w:gridCol w:w="2457"/>
        <w:gridCol w:w="2350"/>
        <w:gridCol w:w="2243"/>
      </w:tblGrid>
      <w:tr w:rsidR="00C74D42" w:rsidRPr="00C73092" w:rsidTr="008D1739">
        <w:trPr>
          <w:trHeight w:val="780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Zoning District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Additional Gross Floor Area, as % of Lot Area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Additional Building</w:t>
            </w:r>
          </w:p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Height, in Feet</w:t>
            </w:r>
          </w:p>
        </w:tc>
        <w:tc>
          <w:tcPr>
            <w:tcW w:w="2243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Additional % of</w:t>
            </w:r>
          </w:p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Building Units</w:t>
            </w: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RM-1</w:t>
            </w:r>
          </w:p>
        </w:tc>
        <w:tc>
          <w:tcPr>
            <w:tcW w:w="2457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7</w:t>
            </w:r>
            <w:r w:rsidR="001E7CF8">
              <w:rPr>
                <w:rFonts w:asciiTheme="majorHAnsi" w:hAnsiTheme="majorHAnsi"/>
                <w:szCs w:val="18"/>
              </w:rPr>
              <w:t>, up to 45</w:t>
            </w: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25-50</w:t>
            </w: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RM-2</w:t>
            </w:r>
          </w:p>
        </w:tc>
        <w:tc>
          <w:tcPr>
            <w:tcW w:w="2457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25-50</w:t>
            </w:r>
          </w:p>
        </w:tc>
        <w:tc>
          <w:tcPr>
            <w:tcW w:w="2350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RM-3</w:t>
            </w:r>
          </w:p>
        </w:tc>
        <w:tc>
          <w:tcPr>
            <w:tcW w:w="2457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50-75</w:t>
            </w:r>
          </w:p>
        </w:tc>
        <w:tc>
          <w:tcPr>
            <w:tcW w:w="2350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RM-4</w:t>
            </w:r>
          </w:p>
        </w:tc>
        <w:tc>
          <w:tcPr>
            <w:tcW w:w="2457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100-175</w:t>
            </w:r>
          </w:p>
        </w:tc>
        <w:tc>
          <w:tcPr>
            <w:tcW w:w="2350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RMX-1</w:t>
            </w:r>
          </w:p>
        </w:tc>
        <w:tc>
          <w:tcPr>
            <w:tcW w:w="2457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50-75</w:t>
            </w:r>
          </w:p>
        </w:tc>
        <w:tc>
          <w:tcPr>
            <w:tcW w:w="2350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RMX-2</w:t>
            </w:r>
          </w:p>
        </w:tc>
        <w:tc>
          <w:tcPr>
            <w:tcW w:w="2457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75-125</w:t>
            </w:r>
          </w:p>
        </w:tc>
        <w:tc>
          <w:tcPr>
            <w:tcW w:w="2350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RMX-3</w:t>
            </w:r>
          </w:p>
        </w:tc>
        <w:tc>
          <w:tcPr>
            <w:tcW w:w="2457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150-250</w:t>
            </w:r>
          </w:p>
        </w:tc>
        <w:tc>
          <w:tcPr>
            <w:tcW w:w="2350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IRMX</w:t>
            </w:r>
          </w:p>
        </w:tc>
        <w:tc>
          <w:tcPr>
            <w:tcW w:w="2457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150-250</w:t>
            </w:r>
          </w:p>
        </w:tc>
        <w:tc>
          <w:tcPr>
            <w:tcW w:w="2350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CMX-1</w:t>
            </w:r>
          </w:p>
        </w:tc>
        <w:tc>
          <w:tcPr>
            <w:tcW w:w="2457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7</w:t>
            </w:r>
            <w:r w:rsidR="001E7CF8">
              <w:rPr>
                <w:rFonts w:asciiTheme="majorHAnsi" w:hAnsiTheme="majorHAnsi"/>
                <w:szCs w:val="18"/>
              </w:rPr>
              <w:t>, up to 45</w:t>
            </w: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25-50</w:t>
            </w: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CMX-2</w:t>
            </w:r>
          </w:p>
        </w:tc>
        <w:tc>
          <w:tcPr>
            <w:tcW w:w="2457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7</w:t>
            </w:r>
            <w:r w:rsidR="001E7CF8">
              <w:rPr>
                <w:rFonts w:asciiTheme="majorHAnsi" w:hAnsiTheme="majorHAnsi"/>
                <w:szCs w:val="18"/>
              </w:rPr>
              <w:t>, up to 45</w:t>
            </w: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25-50</w:t>
            </w: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CMX-2.5</w:t>
            </w:r>
          </w:p>
        </w:tc>
        <w:tc>
          <w:tcPr>
            <w:tcW w:w="2457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C74D42" w:rsidRPr="00C73092" w:rsidRDefault="001E7CF8" w:rsidP="00C74D42">
            <w:pPr>
              <w:jc w:val="center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7, up to 62</w:t>
            </w: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25-50</w:t>
            </w: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CMX-3</w:t>
            </w:r>
          </w:p>
        </w:tc>
        <w:tc>
          <w:tcPr>
            <w:tcW w:w="2457" w:type="dxa"/>
            <w:vAlign w:val="center"/>
          </w:tcPr>
          <w:p w:rsidR="00C74D42" w:rsidRPr="00C73092" w:rsidRDefault="002E7FD0" w:rsidP="00C74D42">
            <w:pPr>
              <w:jc w:val="center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150-</w:t>
            </w:r>
            <w:r w:rsidRPr="002E7FD0">
              <w:rPr>
                <w:rFonts w:asciiTheme="majorHAnsi" w:hAnsiTheme="majorHAnsi"/>
                <w:szCs w:val="18"/>
              </w:rPr>
              <w:t>300</w:t>
            </w:r>
          </w:p>
        </w:tc>
        <w:tc>
          <w:tcPr>
            <w:tcW w:w="2350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CMX-4</w:t>
            </w:r>
          </w:p>
        </w:tc>
        <w:tc>
          <w:tcPr>
            <w:tcW w:w="2457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150-250</w:t>
            </w:r>
          </w:p>
        </w:tc>
        <w:tc>
          <w:tcPr>
            <w:tcW w:w="2350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C74D42" w:rsidRPr="00C73092" w:rsidTr="008D1739">
        <w:trPr>
          <w:trHeight w:val="363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CMX-5</w:t>
            </w:r>
          </w:p>
        </w:tc>
        <w:tc>
          <w:tcPr>
            <w:tcW w:w="2457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  <w:r w:rsidRPr="00C73092">
              <w:rPr>
                <w:rFonts w:asciiTheme="majorHAnsi" w:hAnsiTheme="majorHAnsi"/>
                <w:szCs w:val="18"/>
              </w:rPr>
              <w:t>300-400</w:t>
            </w:r>
          </w:p>
        </w:tc>
        <w:tc>
          <w:tcPr>
            <w:tcW w:w="2350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C74D42" w:rsidRPr="00C73092" w:rsidRDefault="00C74D42" w:rsidP="00C74D42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</w:tbl>
    <w:p w:rsidR="007744E8" w:rsidRPr="008D1739" w:rsidRDefault="007744E8" w:rsidP="008D1739">
      <w:pPr>
        <w:tabs>
          <w:tab w:val="left" w:pos="1440"/>
        </w:tabs>
        <w:spacing w:afterLines="80" w:after="192" w:line="264" w:lineRule="auto"/>
        <w:rPr>
          <w:rFonts w:asciiTheme="majorHAnsi" w:hAnsiTheme="majorHAnsi"/>
          <w:b/>
          <w:sz w:val="10"/>
        </w:rPr>
      </w:pPr>
    </w:p>
    <w:p w:rsidR="00A66E3F" w:rsidRPr="00C73092" w:rsidRDefault="00A66E3F" w:rsidP="00C73092">
      <w:pPr>
        <w:pStyle w:val="ListParagraph"/>
        <w:numPr>
          <w:ilvl w:val="0"/>
          <w:numId w:val="2"/>
        </w:numPr>
        <w:tabs>
          <w:tab w:val="left" w:pos="1440"/>
        </w:tabs>
        <w:spacing w:afterLines="80" w:after="192" w:line="264" w:lineRule="auto"/>
        <w:contextualSpacing w:val="0"/>
        <w:rPr>
          <w:rFonts w:asciiTheme="majorHAnsi" w:hAnsiTheme="majorHAnsi"/>
          <w:b/>
          <w:sz w:val="22"/>
        </w:rPr>
      </w:pPr>
      <w:r w:rsidRPr="00C73092">
        <w:rPr>
          <w:rFonts w:asciiTheme="majorHAnsi" w:hAnsiTheme="majorHAnsi"/>
          <w:sz w:val="22"/>
        </w:rPr>
        <w:t xml:space="preserve">For developers who create and preserve </w:t>
      </w:r>
      <w:r w:rsidR="002E7FD0">
        <w:rPr>
          <w:rFonts w:asciiTheme="majorHAnsi" w:hAnsiTheme="majorHAnsi"/>
          <w:sz w:val="22"/>
        </w:rPr>
        <w:t xml:space="preserve">five or more </w:t>
      </w:r>
      <w:r w:rsidRPr="00C73092">
        <w:rPr>
          <w:rFonts w:asciiTheme="majorHAnsi" w:hAnsiTheme="majorHAnsi"/>
          <w:sz w:val="22"/>
        </w:rPr>
        <w:t>“low-income” housing units:</w:t>
      </w:r>
    </w:p>
    <w:p w:rsidR="00A66E3F" w:rsidRPr="00C73092" w:rsidRDefault="00A66E3F" w:rsidP="00C73092">
      <w:pPr>
        <w:pStyle w:val="ListParagraph"/>
        <w:numPr>
          <w:ilvl w:val="1"/>
          <w:numId w:val="2"/>
        </w:numPr>
        <w:tabs>
          <w:tab w:val="left" w:pos="1440"/>
        </w:tabs>
        <w:spacing w:line="264" w:lineRule="auto"/>
        <w:contextualSpacing w:val="0"/>
        <w:rPr>
          <w:rFonts w:asciiTheme="majorHAnsi" w:hAnsiTheme="majorHAnsi"/>
          <w:b/>
          <w:sz w:val="22"/>
        </w:rPr>
      </w:pPr>
      <w:r w:rsidRPr="00C73092">
        <w:rPr>
          <w:rFonts w:asciiTheme="majorHAnsi" w:hAnsiTheme="majorHAnsi"/>
          <w:sz w:val="22"/>
        </w:rPr>
        <w:t xml:space="preserve">Height limits </w:t>
      </w:r>
      <w:r w:rsidR="001C3EB8" w:rsidRPr="00C73092">
        <w:rPr>
          <w:rFonts w:asciiTheme="majorHAnsi" w:hAnsiTheme="majorHAnsi"/>
          <w:sz w:val="22"/>
        </w:rPr>
        <w:t xml:space="preserve">shall increase by up to 7 feet, but </w:t>
      </w:r>
      <w:r w:rsidR="00B50B4F" w:rsidRPr="00C73092">
        <w:rPr>
          <w:rFonts w:asciiTheme="majorHAnsi" w:hAnsiTheme="majorHAnsi"/>
          <w:sz w:val="22"/>
        </w:rPr>
        <w:t>shall in no case exceed 45 feet,</w:t>
      </w:r>
      <w:r w:rsidR="001C3EB8" w:rsidRPr="00C73092">
        <w:rPr>
          <w:rFonts w:asciiTheme="majorHAnsi" w:hAnsiTheme="majorHAnsi"/>
          <w:sz w:val="22"/>
        </w:rPr>
        <w:t xml:space="preserve"> </w:t>
      </w:r>
      <w:r w:rsidRPr="00C73092">
        <w:rPr>
          <w:rFonts w:asciiTheme="majorHAnsi" w:hAnsiTheme="majorHAnsi"/>
          <w:sz w:val="22"/>
        </w:rPr>
        <w:t>for propertie</w:t>
      </w:r>
      <w:r w:rsidR="001E7CF8">
        <w:rPr>
          <w:rFonts w:asciiTheme="majorHAnsi" w:hAnsiTheme="majorHAnsi"/>
          <w:sz w:val="22"/>
        </w:rPr>
        <w:t xml:space="preserve">s within RM-1, CMX-1, and CMX-2 </w:t>
      </w:r>
      <w:r w:rsidRPr="00C73092">
        <w:rPr>
          <w:rFonts w:asciiTheme="majorHAnsi" w:hAnsiTheme="majorHAnsi"/>
          <w:sz w:val="22"/>
        </w:rPr>
        <w:t>districts</w:t>
      </w:r>
      <w:r w:rsidR="001E7CF8">
        <w:rPr>
          <w:rFonts w:asciiTheme="majorHAnsi" w:hAnsiTheme="majorHAnsi"/>
          <w:sz w:val="22"/>
        </w:rPr>
        <w:t>, and shall in no case exceed 62 feet, for properties within CMX-2.5 districts.</w:t>
      </w:r>
    </w:p>
    <w:p w:rsidR="00A66E3F" w:rsidRPr="00C73092" w:rsidRDefault="00A66E3F" w:rsidP="00C73092">
      <w:pPr>
        <w:pStyle w:val="ListParagraph"/>
        <w:numPr>
          <w:ilvl w:val="1"/>
          <w:numId w:val="2"/>
        </w:numPr>
        <w:tabs>
          <w:tab w:val="left" w:pos="1440"/>
        </w:tabs>
        <w:spacing w:line="264" w:lineRule="auto"/>
        <w:contextualSpacing w:val="0"/>
        <w:rPr>
          <w:rFonts w:asciiTheme="majorHAnsi" w:hAnsiTheme="majorHAnsi"/>
          <w:b/>
          <w:sz w:val="22"/>
        </w:rPr>
      </w:pPr>
      <w:r w:rsidRPr="00C73092">
        <w:rPr>
          <w:rFonts w:asciiTheme="majorHAnsi" w:hAnsiTheme="majorHAnsi"/>
          <w:sz w:val="22"/>
        </w:rPr>
        <w:t xml:space="preserve">The amount of housing units permitted </w:t>
      </w:r>
      <w:r w:rsidR="001C3EB8" w:rsidRPr="00C73092">
        <w:rPr>
          <w:rFonts w:asciiTheme="majorHAnsi" w:hAnsiTheme="majorHAnsi"/>
          <w:sz w:val="22"/>
        </w:rPr>
        <w:t>shall increase by 50%</w:t>
      </w:r>
      <w:r w:rsidR="00B50B4F" w:rsidRPr="00C73092">
        <w:rPr>
          <w:rFonts w:asciiTheme="majorHAnsi" w:hAnsiTheme="majorHAnsi"/>
          <w:sz w:val="22"/>
        </w:rPr>
        <w:t xml:space="preserve"> </w:t>
      </w:r>
      <w:r w:rsidRPr="00C73092">
        <w:rPr>
          <w:rFonts w:asciiTheme="majorHAnsi" w:hAnsiTheme="majorHAnsi"/>
          <w:sz w:val="22"/>
        </w:rPr>
        <w:t>for properties within RM-1, CMX-1, CMX-2, and CMX-2.5 districts</w:t>
      </w:r>
      <w:r w:rsidR="000C0D5D" w:rsidRPr="00C73092">
        <w:rPr>
          <w:rFonts w:asciiTheme="majorHAnsi" w:hAnsiTheme="majorHAnsi"/>
          <w:sz w:val="22"/>
        </w:rPr>
        <w:t>.</w:t>
      </w:r>
    </w:p>
    <w:p w:rsidR="00A66E3F" w:rsidRPr="00C73092" w:rsidRDefault="001C3EB8" w:rsidP="00C73092">
      <w:pPr>
        <w:pStyle w:val="ListParagraph"/>
        <w:numPr>
          <w:ilvl w:val="1"/>
          <w:numId w:val="2"/>
        </w:numPr>
        <w:tabs>
          <w:tab w:val="left" w:pos="1440"/>
        </w:tabs>
        <w:spacing w:line="264" w:lineRule="auto"/>
        <w:contextualSpacing w:val="0"/>
        <w:rPr>
          <w:rFonts w:asciiTheme="majorHAnsi" w:hAnsiTheme="majorHAnsi"/>
          <w:b/>
          <w:sz w:val="22"/>
        </w:rPr>
      </w:pPr>
      <w:r w:rsidRPr="00C73092">
        <w:rPr>
          <w:rFonts w:asciiTheme="majorHAnsi" w:hAnsiTheme="majorHAnsi"/>
          <w:sz w:val="22"/>
        </w:rPr>
        <w:t xml:space="preserve">The maximum base floor area ratio shall increase, by 50% </w:t>
      </w:r>
      <w:r w:rsidR="00CB7B12" w:rsidRPr="00C73092">
        <w:rPr>
          <w:rFonts w:asciiTheme="majorHAnsi" w:hAnsiTheme="majorHAnsi"/>
          <w:sz w:val="22"/>
        </w:rPr>
        <w:t xml:space="preserve">for properties </w:t>
      </w:r>
      <w:r w:rsidRPr="00C73092">
        <w:rPr>
          <w:rFonts w:asciiTheme="majorHAnsi" w:hAnsiTheme="majorHAnsi"/>
          <w:sz w:val="22"/>
        </w:rPr>
        <w:t xml:space="preserve">within RM-2 districts; by 75% </w:t>
      </w:r>
      <w:r w:rsidR="00CB7B12" w:rsidRPr="00C73092">
        <w:rPr>
          <w:rFonts w:asciiTheme="majorHAnsi" w:hAnsiTheme="majorHAnsi"/>
          <w:sz w:val="22"/>
        </w:rPr>
        <w:t xml:space="preserve">for properties within </w:t>
      </w:r>
      <w:r w:rsidRPr="00C73092">
        <w:rPr>
          <w:rFonts w:asciiTheme="majorHAnsi" w:hAnsiTheme="majorHAnsi"/>
          <w:sz w:val="22"/>
        </w:rPr>
        <w:t xml:space="preserve">RM-3 and RMX-1 districts; by 125% </w:t>
      </w:r>
      <w:r w:rsidR="00CB7B12" w:rsidRPr="00C73092">
        <w:rPr>
          <w:rFonts w:asciiTheme="majorHAnsi" w:hAnsiTheme="majorHAnsi"/>
          <w:sz w:val="22"/>
        </w:rPr>
        <w:t xml:space="preserve">for properties within </w:t>
      </w:r>
      <w:r w:rsidRPr="00C73092">
        <w:rPr>
          <w:rFonts w:asciiTheme="majorHAnsi" w:hAnsiTheme="majorHAnsi"/>
          <w:sz w:val="22"/>
        </w:rPr>
        <w:t xml:space="preserve">RMX-2 districts; </w:t>
      </w:r>
      <w:r w:rsidR="00B50B4F" w:rsidRPr="00C73092">
        <w:rPr>
          <w:rFonts w:asciiTheme="majorHAnsi" w:hAnsiTheme="majorHAnsi"/>
          <w:sz w:val="22"/>
        </w:rPr>
        <w:t xml:space="preserve">and </w:t>
      </w:r>
      <w:r w:rsidRPr="00C73092">
        <w:rPr>
          <w:rFonts w:asciiTheme="majorHAnsi" w:hAnsiTheme="majorHAnsi"/>
          <w:sz w:val="22"/>
        </w:rPr>
        <w:t xml:space="preserve">by 250% </w:t>
      </w:r>
      <w:r w:rsidR="00CB7B12" w:rsidRPr="00C73092">
        <w:rPr>
          <w:rFonts w:asciiTheme="majorHAnsi" w:hAnsiTheme="majorHAnsi"/>
          <w:sz w:val="22"/>
        </w:rPr>
        <w:t xml:space="preserve">for properties within IRMX and RMX-3 districts. </w:t>
      </w:r>
    </w:p>
    <w:p w:rsidR="00974039" w:rsidRPr="00C73092" w:rsidRDefault="00974039" w:rsidP="00D94548">
      <w:pPr>
        <w:pStyle w:val="ListParagraph"/>
        <w:tabs>
          <w:tab w:val="left" w:pos="1440"/>
        </w:tabs>
        <w:spacing w:line="264" w:lineRule="auto"/>
        <w:ind w:left="1440"/>
        <w:contextualSpacing w:val="0"/>
        <w:rPr>
          <w:rFonts w:asciiTheme="majorHAnsi" w:hAnsiTheme="majorHAnsi"/>
          <w:b/>
          <w:sz w:val="14"/>
        </w:rPr>
      </w:pPr>
    </w:p>
    <w:p w:rsidR="00A66E3F" w:rsidRPr="00C73092" w:rsidRDefault="00A66E3F" w:rsidP="00C73092">
      <w:pPr>
        <w:pStyle w:val="ListParagraph"/>
        <w:numPr>
          <w:ilvl w:val="0"/>
          <w:numId w:val="2"/>
        </w:numPr>
        <w:tabs>
          <w:tab w:val="left" w:pos="1440"/>
        </w:tabs>
        <w:spacing w:afterLines="80" w:after="192" w:line="264" w:lineRule="auto"/>
        <w:contextualSpacing w:val="0"/>
        <w:rPr>
          <w:rFonts w:asciiTheme="majorHAnsi" w:hAnsiTheme="majorHAnsi"/>
          <w:b/>
          <w:sz w:val="22"/>
        </w:rPr>
      </w:pPr>
      <w:r w:rsidRPr="00C73092">
        <w:rPr>
          <w:rFonts w:asciiTheme="majorHAnsi" w:hAnsiTheme="majorHAnsi"/>
          <w:sz w:val="22"/>
        </w:rPr>
        <w:t>For developers who create and preserve</w:t>
      </w:r>
      <w:r w:rsidR="002E7FD0">
        <w:rPr>
          <w:rFonts w:asciiTheme="majorHAnsi" w:hAnsiTheme="majorHAnsi"/>
          <w:sz w:val="22"/>
        </w:rPr>
        <w:t xml:space="preserve"> five or more</w:t>
      </w:r>
      <w:r w:rsidRPr="00C73092">
        <w:rPr>
          <w:rFonts w:asciiTheme="majorHAnsi" w:hAnsiTheme="majorHAnsi"/>
          <w:sz w:val="22"/>
        </w:rPr>
        <w:t xml:space="preserve"> “moderate-income” housing units:</w:t>
      </w:r>
    </w:p>
    <w:p w:rsidR="000C0D5D" w:rsidRPr="00C73092" w:rsidRDefault="000C0D5D" w:rsidP="00C73092">
      <w:pPr>
        <w:pStyle w:val="ListParagraph"/>
        <w:numPr>
          <w:ilvl w:val="1"/>
          <w:numId w:val="2"/>
        </w:numPr>
        <w:tabs>
          <w:tab w:val="left" w:pos="1440"/>
        </w:tabs>
        <w:spacing w:line="264" w:lineRule="auto"/>
        <w:contextualSpacing w:val="0"/>
        <w:rPr>
          <w:rFonts w:asciiTheme="majorHAnsi" w:hAnsiTheme="majorHAnsi"/>
          <w:b/>
          <w:sz w:val="22"/>
        </w:rPr>
      </w:pPr>
      <w:r w:rsidRPr="00C73092">
        <w:rPr>
          <w:rFonts w:asciiTheme="majorHAnsi" w:hAnsiTheme="majorHAnsi"/>
          <w:sz w:val="22"/>
        </w:rPr>
        <w:t>Height limits shall increase by up to 7 feet, but shall in no case exceed 45 feet, for properties within RM-1, CMX-1, and CMX-2 districts.</w:t>
      </w:r>
    </w:p>
    <w:p w:rsidR="000C0D5D" w:rsidRPr="00C73092" w:rsidRDefault="000C0D5D" w:rsidP="00C73092">
      <w:pPr>
        <w:pStyle w:val="ListParagraph"/>
        <w:numPr>
          <w:ilvl w:val="1"/>
          <w:numId w:val="2"/>
        </w:numPr>
        <w:tabs>
          <w:tab w:val="left" w:pos="1440"/>
        </w:tabs>
        <w:spacing w:line="264" w:lineRule="auto"/>
        <w:contextualSpacing w:val="0"/>
        <w:rPr>
          <w:rFonts w:asciiTheme="majorHAnsi" w:hAnsiTheme="majorHAnsi"/>
          <w:b/>
          <w:sz w:val="22"/>
        </w:rPr>
      </w:pPr>
      <w:r w:rsidRPr="00C73092">
        <w:rPr>
          <w:rFonts w:asciiTheme="majorHAnsi" w:hAnsiTheme="majorHAnsi"/>
          <w:sz w:val="22"/>
        </w:rPr>
        <w:t>The amount of housing units permitted shall increase by 25% for properties within RM-1, CMX-1, CMX-2, and CMX-2.5 districts.</w:t>
      </w:r>
    </w:p>
    <w:p w:rsidR="002F5EE9" w:rsidRPr="00C73092" w:rsidRDefault="000C0D5D" w:rsidP="00C73092">
      <w:pPr>
        <w:pStyle w:val="ListParagraph"/>
        <w:numPr>
          <w:ilvl w:val="1"/>
          <w:numId w:val="2"/>
        </w:numPr>
        <w:tabs>
          <w:tab w:val="left" w:pos="1440"/>
        </w:tabs>
        <w:spacing w:line="264" w:lineRule="auto"/>
        <w:contextualSpacing w:val="0"/>
        <w:rPr>
          <w:rFonts w:asciiTheme="majorHAnsi" w:hAnsiTheme="majorHAnsi"/>
          <w:b/>
          <w:sz w:val="22"/>
        </w:rPr>
      </w:pPr>
      <w:r w:rsidRPr="00C73092">
        <w:rPr>
          <w:rFonts w:asciiTheme="majorHAnsi" w:hAnsiTheme="majorHAnsi"/>
          <w:sz w:val="22"/>
        </w:rPr>
        <w:t xml:space="preserve">The maximum base floor area ratio shall increase, by 25% </w:t>
      </w:r>
      <w:r w:rsidR="002F5EE9" w:rsidRPr="00C73092">
        <w:rPr>
          <w:rFonts w:asciiTheme="majorHAnsi" w:hAnsiTheme="majorHAnsi"/>
          <w:sz w:val="22"/>
        </w:rPr>
        <w:t xml:space="preserve">for properties within </w:t>
      </w:r>
      <w:r w:rsidRPr="00C73092">
        <w:rPr>
          <w:rFonts w:asciiTheme="majorHAnsi" w:hAnsiTheme="majorHAnsi"/>
          <w:sz w:val="22"/>
        </w:rPr>
        <w:t xml:space="preserve">RM-2 districts; by 50% </w:t>
      </w:r>
      <w:r w:rsidR="002F5EE9" w:rsidRPr="00C73092">
        <w:rPr>
          <w:rFonts w:asciiTheme="majorHAnsi" w:hAnsiTheme="majorHAnsi"/>
          <w:sz w:val="22"/>
        </w:rPr>
        <w:t xml:space="preserve">for properties within </w:t>
      </w:r>
      <w:r w:rsidRPr="00C73092">
        <w:rPr>
          <w:rFonts w:asciiTheme="majorHAnsi" w:hAnsiTheme="majorHAnsi"/>
          <w:sz w:val="22"/>
        </w:rPr>
        <w:t xml:space="preserve">RM-3 and RMX-1 districts; by 75% </w:t>
      </w:r>
      <w:r w:rsidR="002F5EE9" w:rsidRPr="00C73092">
        <w:rPr>
          <w:rFonts w:asciiTheme="majorHAnsi" w:hAnsiTheme="majorHAnsi"/>
          <w:sz w:val="22"/>
        </w:rPr>
        <w:t xml:space="preserve">for properties within </w:t>
      </w:r>
      <w:r w:rsidRPr="00C73092">
        <w:rPr>
          <w:rFonts w:asciiTheme="majorHAnsi" w:hAnsiTheme="majorHAnsi"/>
          <w:sz w:val="22"/>
        </w:rPr>
        <w:t xml:space="preserve">RMX-2 districts; </w:t>
      </w:r>
      <w:r w:rsidR="002F5EE9" w:rsidRPr="00C73092">
        <w:rPr>
          <w:rFonts w:asciiTheme="majorHAnsi" w:hAnsiTheme="majorHAnsi"/>
          <w:sz w:val="22"/>
        </w:rPr>
        <w:t xml:space="preserve">and </w:t>
      </w:r>
      <w:r w:rsidRPr="00C73092">
        <w:rPr>
          <w:rFonts w:asciiTheme="majorHAnsi" w:hAnsiTheme="majorHAnsi"/>
          <w:sz w:val="22"/>
        </w:rPr>
        <w:t xml:space="preserve">by 150% </w:t>
      </w:r>
      <w:r w:rsidR="002F5EE9" w:rsidRPr="00C73092">
        <w:rPr>
          <w:rFonts w:asciiTheme="majorHAnsi" w:hAnsiTheme="majorHAnsi"/>
          <w:sz w:val="22"/>
        </w:rPr>
        <w:t>for properties within IRMX and RMX-3 districts.</w:t>
      </w:r>
    </w:p>
    <w:p w:rsidR="00C74D42" w:rsidRPr="00C73092" w:rsidRDefault="00C74D42" w:rsidP="00C74D42">
      <w:pPr>
        <w:tabs>
          <w:tab w:val="left" w:pos="1440"/>
        </w:tabs>
        <w:spacing w:line="264" w:lineRule="auto"/>
        <w:rPr>
          <w:rFonts w:asciiTheme="majorHAnsi" w:hAnsiTheme="majorHAnsi"/>
          <w:b/>
          <w:sz w:val="14"/>
        </w:rPr>
      </w:pPr>
    </w:p>
    <w:p w:rsidR="00FE6199" w:rsidRPr="00C73092" w:rsidRDefault="004F45F8" w:rsidP="00D94548">
      <w:pPr>
        <w:pStyle w:val="ListParagraph"/>
        <w:numPr>
          <w:ilvl w:val="0"/>
          <w:numId w:val="2"/>
        </w:numPr>
        <w:tabs>
          <w:tab w:val="left" w:pos="1440"/>
        </w:tabs>
        <w:spacing w:afterLines="80" w:after="192" w:line="264" w:lineRule="auto"/>
        <w:contextualSpacing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>Set-aside units must be affordable</w:t>
      </w:r>
      <w:r w:rsidR="007744E8">
        <w:rPr>
          <w:rFonts w:asciiTheme="majorHAnsi" w:hAnsiTheme="majorHAnsi"/>
          <w:sz w:val="22"/>
        </w:rPr>
        <w:t>, such</w:t>
      </w:r>
      <w:r w:rsidR="00E410DC" w:rsidRPr="00C73092">
        <w:rPr>
          <w:rFonts w:asciiTheme="majorHAnsi" w:hAnsiTheme="majorHAnsi"/>
          <w:sz w:val="22"/>
        </w:rPr>
        <w:t xml:space="preserve"> that</w:t>
      </w:r>
      <w:r w:rsidR="00FE6199" w:rsidRPr="00C73092">
        <w:rPr>
          <w:rFonts w:asciiTheme="majorHAnsi" w:hAnsiTheme="majorHAnsi"/>
          <w:sz w:val="22"/>
        </w:rPr>
        <w:t xml:space="preserve"> monthly housing costs </w:t>
      </w:r>
      <w:r>
        <w:rPr>
          <w:rFonts w:asciiTheme="majorHAnsi" w:hAnsiTheme="majorHAnsi"/>
          <w:sz w:val="22"/>
        </w:rPr>
        <w:t>do</w:t>
      </w:r>
      <w:r w:rsidR="007744E8">
        <w:rPr>
          <w:rFonts w:asciiTheme="majorHAnsi" w:hAnsiTheme="majorHAnsi"/>
          <w:sz w:val="22"/>
        </w:rPr>
        <w:t xml:space="preserve"> </w:t>
      </w:r>
      <w:r w:rsidR="00FE6199" w:rsidRPr="00C73092">
        <w:rPr>
          <w:rFonts w:asciiTheme="majorHAnsi" w:hAnsiTheme="majorHAnsi"/>
          <w:sz w:val="22"/>
        </w:rPr>
        <w:t>not exceed 30% of gross income for households earning</w:t>
      </w:r>
      <w:r w:rsidR="00AE0E55" w:rsidRPr="00C73092">
        <w:rPr>
          <w:rFonts w:asciiTheme="majorHAnsi" w:hAnsiTheme="majorHAnsi"/>
          <w:sz w:val="22"/>
        </w:rPr>
        <w:t>, at the time of initial occupancy,</w:t>
      </w:r>
      <w:r w:rsidR="00FE6199" w:rsidRPr="00C73092">
        <w:rPr>
          <w:rFonts w:asciiTheme="majorHAnsi" w:hAnsiTheme="majorHAnsi"/>
          <w:sz w:val="22"/>
        </w:rPr>
        <w:t xml:space="preserve"> up to: </w:t>
      </w:r>
    </w:p>
    <w:p w:rsidR="00FE6199" w:rsidRPr="00C73092" w:rsidRDefault="00FE6199" w:rsidP="00D94548">
      <w:pPr>
        <w:pStyle w:val="ListParagraph"/>
        <w:numPr>
          <w:ilvl w:val="1"/>
          <w:numId w:val="2"/>
        </w:numPr>
        <w:tabs>
          <w:tab w:val="left" w:pos="1440"/>
        </w:tabs>
        <w:spacing w:line="264" w:lineRule="auto"/>
        <w:ind w:left="994"/>
        <w:contextualSpacing w:val="0"/>
        <w:rPr>
          <w:rFonts w:asciiTheme="majorHAnsi" w:hAnsiTheme="majorHAnsi"/>
          <w:b/>
          <w:sz w:val="22"/>
        </w:rPr>
      </w:pPr>
      <w:r w:rsidRPr="00C73092">
        <w:rPr>
          <w:rFonts w:asciiTheme="majorHAnsi" w:hAnsiTheme="majorHAnsi"/>
          <w:sz w:val="22"/>
        </w:rPr>
        <w:t>50%</w:t>
      </w:r>
      <w:r w:rsidR="00AE0E55" w:rsidRPr="00C73092">
        <w:rPr>
          <w:rFonts w:asciiTheme="majorHAnsi" w:hAnsiTheme="majorHAnsi"/>
          <w:sz w:val="22"/>
        </w:rPr>
        <w:t xml:space="preserve"> of Area Median Income (AMI), for “low-income” rental units.</w:t>
      </w:r>
    </w:p>
    <w:p w:rsidR="00AE0E55" w:rsidRPr="00C73092" w:rsidRDefault="00AE0E55" w:rsidP="00D94548">
      <w:pPr>
        <w:pStyle w:val="ListParagraph"/>
        <w:numPr>
          <w:ilvl w:val="1"/>
          <w:numId w:val="2"/>
        </w:numPr>
        <w:tabs>
          <w:tab w:val="left" w:pos="1440"/>
        </w:tabs>
        <w:spacing w:line="264" w:lineRule="auto"/>
        <w:ind w:left="994"/>
        <w:contextualSpacing w:val="0"/>
        <w:rPr>
          <w:rFonts w:asciiTheme="majorHAnsi" w:hAnsiTheme="majorHAnsi"/>
          <w:b/>
          <w:sz w:val="22"/>
        </w:rPr>
      </w:pPr>
      <w:r w:rsidRPr="00C73092">
        <w:rPr>
          <w:rFonts w:asciiTheme="majorHAnsi" w:hAnsiTheme="majorHAnsi"/>
          <w:sz w:val="22"/>
        </w:rPr>
        <w:t>60% of Area Median Income (AMI), for “moderate-income” rental units.</w:t>
      </w:r>
    </w:p>
    <w:p w:rsidR="00AE0E55" w:rsidRPr="00C73092" w:rsidRDefault="00AE0E55" w:rsidP="00D94548">
      <w:pPr>
        <w:pStyle w:val="ListParagraph"/>
        <w:numPr>
          <w:ilvl w:val="1"/>
          <w:numId w:val="2"/>
        </w:numPr>
        <w:tabs>
          <w:tab w:val="left" w:pos="1440"/>
        </w:tabs>
        <w:spacing w:line="264" w:lineRule="auto"/>
        <w:ind w:left="994"/>
        <w:contextualSpacing w:val="0"/>
        <w:rPr>
          <w:rFonts w:asciiTheme="majorHAnsi" w:hAnsiTheme="majorHAnsi"/>
          <w:b/>
          <w:sz w:val="22"/>
        </w:rPr>
      </w:pPr>
      <w:r w:rsidRPr="00C73092">
        <w:rPr>
          <w:rFonts w:asciiTheme="majorHAnsi" w:hAnsiTheme="majorHAnsi"/>
          <w:sz w:val="22"/>
        </w:rPr>
        <w:t>70% of Area Median Income (AMI), for “low-income” for-sale units.</w:t>
      </w:r>
    </w:p>
    <w:p w:rsidR="00974039" w:rsidRPr="00C73092" w:rsidRDefault="00AE0E55" w:rsidP="00A03D2B">
      <w:pPr>
        <w:pStyle w:val="ListParagraph"/>
        <w:numPr>
          <w:ilvl w:val="1"/>
          <w:numId w:val="2"/>
        </w:numPr>
        <w:tabs>
          <w:tab w:val="left" w:pos="1440"/>
        </w:tabs>
        <w:spacing w:line="264" w:lineRule="auto"/>
        <w:ind w:left="994"/>
        <w:contextualSpacing w:val="0"/>
        <w:rPr>
          <w:rFonts w:asciiTheme="majorHAnsi" w:hAnsiTheme="majorHAnsi"/>
          <w:b/>
          <w:sz w:val="22"/>
        </w:rPr>
      </w:pPr>
      <w:r w:rsidRPr="00C73092">
        <w:rPr>
          <w:rFonts w:asciiTheme="majorHAnsi" w:hAnsiTheme="majorHAnsi"/>
          <w:sz w:val="22"/>
        </w:rPr>
        <w:t>80% of Area Median Income (AMI), for “moderate-income” for-sale units.</w:t>
      </w:r>
    </w:p>
    <w:p w:rsidR="00A03D2B" w:rsidRPr="00C73092" w:rsidRDefault="00A03D2B" w:rsidP="00A03D2B">
      <w:pPr>
        <w:pStyle w:val="ListParagraph"/>
        <w:tabs>
          <w:tab w:val="left" w:pos="1440"/>
        </w:tabs>
        <w:spacing w:line="264" w:lineRule="auto"/>
        <w:ind w:left="994"/>
        <w:contextualSpacing w:val="0"/>
        <w:rPr>
          <w:rFonts w:asciiTheme="majorHAnsi" w:hAnsiTheme="majorHAnsi"/>
          <w:b/>
          <w:sz w:val="18"/>
        </w:rPr>
      </w:pPr>
    </w:p>
    <w:p w:rsidR="002E7FD0" w:rsidRPr="00E14E6F" w:rsidRDefault="004F45F8" w:rsidP="00E14E6F">
      <w:pPr>
        <w:pStyle w:val="ListParagraph"/>
        <w:numPr>
          <w:ilvl w:val="0"/>
          <w:numId w:val="2"/>
        </w:numPr>
        <w:tabs>
          <w:tab w:val="left" w:pos="1440"/>
        </w:tabs>
        <w:spacing w:afterLines="80" w:after="192" w:line="264" w:lineRule="auto"/>
        <w:contextualSpacing w:val="0"/>
        <w:rPr>
          <w:rFonts w:asciiTheme="majorHAnsi" w:hAnsiTheme="majorHAnsi"/>
          <w:b/>
          <w:sz w:val="22"/>
        </w:rPr>
      </w:pPr>
      <w:r w:rsidRPr="00C73092">
        <w:rPr>
          <w:rFonts w:asciiTheme="majorHAnsi" w:hAnsiTheme="majorHAnsi"/>
          <w:sz w:val="22"/>
        </w:rPr>
        <w:t>Payment to the PHTF in lieu of creating and preserving affordable units must be tendered prior to building permit issuance.  The payment shall be calculated</w:t>
      </w:r>
      <w:r w:rsidR="00E14E6F">
        <w:rPr>
          <w:rFonts w:asciiTheme="majorHAnsi" w:hAnsiTheme="majorHAnsi"/>
          <w:sz w:val="22"/>
        </w:rPr>
        <w:t>, depending upon the bonus earned,</w:t>
      </w:r>
      <w:r w:rsidRPr="00C73092">
        <w:rPr>
          <w:rFonts w:asciiTheme="majorHAnsi" w:hAnsiTheme="majorHAnsi"/>
          <w:sz w:val="22"/>
        </w:rPr>
        <w:t xml:space="preserve"> by </w:t>
      </w:r>
      <w:r w:rsidR="00E14E6F">
        <w:rPr>
          <w:rFonts w:asciiTheme="majorHAnsi" w:hAnsiTheme="majorHAnsi"/>
          <w:sz w:val="22"/>
        </w:rPr>
        <w:t xml:space="preserve">multiplying bonus lot area by $20 to $24; by </w:t>
      </w:r>
      <w:r w:rsidRPr="00C73092">
        <w:rPr>
          <w:rFonts w:asciiTheme="majorHAnsi" w:hAnsiTheme="majorHAnsi"/>
          <w:sz w:val="22"/>
        </w:rPr>
        <w:t xml:space="preserve">multiplying </w:t>
      </w:r>
      <w:r w:rsidR="00E14E6F">
        <w:rPr>
          <w:rFonts w:asciiTheme="majorHAnsi" w:hAnsiTheme="majorHAnsi"/>
          <w:sz w:val="22"/>
        </w:rPr>
        <w:t>bonus</w:t>
      </w:r>
      <w:r w:rsidR="002E7FD0">
        <w:rPr>
          <w:rFonts w:asciiTheme="majorHAnsi" w:hAnsiTheme="majorHAnsi"/>
          <w:sz w:val="22"/>
        </w:rPr>
        <w:t xml:space="preserve"> gross floor area</w:t>
      </w:r>
      <w:r>
        <w:rPr>
          <w:rFonts w:asciiTheme="majorHAnsi" w:hAnsiTheme="majorHAnsi"/>
          <w:sz w:val="22"/>
        </w:rPr>
        <w:t xml:space="preserve"> </w:t>
      </w:r>
      <w:r w:rsidR="00E14E6F">
        <w:rPr>
          <w:rFonts w:asciiTheme="majorHAnsi" w:hAnsiTheme="majorHAnsi"/>
          <w:sz w:val="22"/>
        </w:rPr>
        <w:t xml:space="preserve">by $25 to $30; or by multiplying bonus units by $25,000 to $30,000. </w:t>
      </w:r>
    </w:p>
    <w:p w:rsidR="0070390D" w:rsidRPr="00C73092" w:rsidRDefault="004F45F8" w:rsidP="00D94548">
      <w:pPr>
        <w:pStyle w:val="ListParagraph"/>
        <w:numPr>
          <w:ilvl w:val="0"/>
          <w:numId w:val="2"/>
        </w:numPr>
        <w:tabs>
          <w:tab w:val="left" w:pos="1440"/>
        </w:tabs>
        <w:spacing w:afterLines="80" w:after="192" w:line="264" w:lineRule="auto"/>
        <w:contextualSpacing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 xml:space="preserve">Title 14 </w:t>
      </w:r>
      <w:r w:rsidR="00E14E6F">
        <w:rPr>
          <w:rFonts w:asciiTheme="majorHAnsi" w:hAnsiTheme="majorHAnsi"/>
          <w:sz w:val="22"/>
        </w:rPr>
        <w:t>maintains</w:t>
      </w:r>
      <w:r>
        <w:rPr>
          <w:rFonts w:asciiTheme="majorHAnsi" w:hAnsiTheme="majorHAnsi"/>
          <w:sz w:val="22"/>
        </w:rPr>
        <w:t xml:space="preserve"> standards</w:t>
      </w:r>
      <w:r w:rsidR="00E14E6F">
        <w:rPr>
          <w:rFonts w:asciiTheme="majorHAnsi" w:hAnsiTheme="majorHAnsi"/>
          <w:sz w:val="22"/>
        </w:rPr>
        <w:t>, as adopted on July 21,</w:t>
      </w:r>
      <w:r w:rsidR="007744E8">
        <w:rPr>
          <w:rFonts w:asciiTheme="majorHAnsi" w:hAnsiTheme="majorHAnsi"/>
          <w:sz w:val="22"/>
        </w:rPr>
        <w:t xml:space="preserve"> </w:t>
      </w:r>
      <w:r w:rsidR="00AE0E55" w:rsidRPr="00C73092">
        <w:rPr>
          <w:rFonts w:asciiTheme="majorHAnsi" w:hAnsiTheme="majorHAnsi"/>
          <w:sz w:val="22"/>
        </w:rPr>
        <w:t>for the construction, marketing, occupancy, and maintenance of aff</w:t>
      </w:r>
      <w:r w:rsidR="00974039" w:rsidRPr="00C73092">
        <w:rPr>
          <w:rFonts w:asciiTheme="majorHAnsi" w:hAnsiTheme="majorHAnsi"/>
          <w:sz w:val="22"/>
        </w:rPr>
        <w:t>ordable housing units; rates for payments to PHTF in lieu of creating and preserving affordable housing units; remedies for no</w:t>
      </w:r>
      <w:r w:rsidR="00C73092">
        <w:rPr>
          <w:rFonts w:asciiTheme="majorHAnsi" w:hAnsiTheme="majorHAnsi"/>
          <w:sz w:val="22"/>
        </w:rPr>
        <w:t xml:space="preserve">n-compliance; and </w:t>
      </w:r>
      <w:r w:rsidR="00974039" w:rsidRPr="00C73092">
        <w:rPr>
          <w:rFonts w:asciiTheme="majorHAnsi" w:hAnsiTheme="majorHAnsi"/>
          <w:sz w:val="22"/>
        </w:rPr>
        <w:t>reporting</w:t>
      </w:r>
      <w:r w:rsidR="00C73092">
        <w:rPr>
          <w:rFonts w:asciiTheme="majorHAnsi" w:hAnsiTheme="majorHAnsi"/>
          <w:sz w:val="22"/>
        </w:rPr>
        <w:t xml:space="preserve"> standards</w:t>
      </w:r>
      <w:r w:rsidR="00974039" w:rsidRPr="00C73092">
        <w:rPr>
          <w:rFonts w:asciiTheme="majorHAnsi" w:hAnsiTheme="majorHAnsi"/>
          <w:sz w:val="22"/>
        </w:rPr>
        <w:t>.</w:t>
      </w:r>
    </w:p>
    <w:p w:rsidR="00217CE9" w:rsidRPr="00BE1D99" w:rsidRDefault="00217CE9" w:rsidP="004F45F8">
      <w:pPr>
        <w:pStyle w:val="ListParagraph"/>
        <w:tabs>
          <w:tab w:val="left" w:pos="1440"/>
        </w:tabs>
        <w:spacing w:afterLines="80" w:after="192" w:line="264" w:lineRule="auto"/>
        <w:ind w:left="450"/>
        <w:contextualSpacing w:val="0"/>
        <w:rPr>
          <w:rFonts w:asciiTheme="majorHAnsi" w:hAnsiTheme="majorHAnsi"/>
          <w:b/>
          <w:sz w:val="22"/>
        </w:rPr>
      </w:pPr>
    </w:p>
    <w:sectPr w:rsidR="00217CE9" w:rsidRPr="00BE1D99" w:rsidSect="004F45F8">
      <w:headerReference w:type="default" r:id="rId9"/>
      <w:footerReference w:type="default" r:id="rId10"/>
      <w:pgSz w:w="12240" w:h="15840"/>
      <w:pgMar w:top="1440" w:right="126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FE" w:rsidRDefault="00A96AFE" w:rsidP="002F5EE9">
      <w:r>
        <w:separator/>
      </w:r>
    </w:p>
  </w:endnote>
  <w:endnote w:type="continuationSeparator" w:id="0">
    <w:p w:rsidR="00A96AFE" w:rsidRDefault="00A96AFE" w:rsidP="002F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</w:rPr>
      <w:id w:val="-298843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CE9" w:rsidRPr="00217CE9" w:rsidRDefault="00217CE9">
        <w:pPr>
          <w:pStyle w:val="Footer"/>
          <w:jc w:val="right"/>
          <w:rPr>
            <w:rFonts w:asciiTheme="majorHAnsi" w:hAnsiTheme="majorHAnsi"/>
            <w:sz w:val="16"/>
          </w:rPr>
        </w:pPr>
        <w:r w:rsidRPr="00217CE9">
          <w:rPr>
            <w:rFonts w:asciiTheme="majorHAnsi" w:hAnsiTheme="majorHAnsi"/>
            <w:sz w:val="16"/>
          </w:rPr>
          <w:fldChar w:fldCharType="begin"/>
        </w:r>
        <w:r w:rsidRPr="00217CE9">
          <w:rPr>
            <w:rFonts w:asciiTheme="majorHAnsi" w:hAnsiTheme="majorHAnsi"/>
            <w:sz w:val="16"/>
          </w:rPr>
          <w:instrText xml:space="preserve"> PAGE   \* MERGEFORMAT </w:instrText>
        </w:r>
        <w:r w:rsidRPr="00217CE9">
          <w:rPr>
            <w:rFonts w:asciiTheme="majorHAnsi" w:hAnsiTheme="majorHAnsi"/>
            <w:sz w:val="16"/>
          </w:rPr>
          <w:fldChar w:fldCharType="separate"/>
        </w:r>
        <w:r w:rsidR="000920F1">
          <w:rPr>
            <w:rFonts w:asciiTheme="majorHAnsi" w:hAnsiTheme="majorHAnsi"/>
            <w:noProof/>
            <w:sz w:val="16"/>
          </w:rPr>
          <w:t>2</w:t>
        </w:r>
        <w:r w:rsidRPr="00217CE9">
          <w:rPr>
            <w:rFonts w:asciiTheme="majorHAnsi" w:hAnsiTheme="majorHAnsi"/>
            <w:noProof/>
            <w:sz w:val="16"/>
          </w:rPr>
          <w:fldChar w:fldCharType="end"/>
        </w:r>
      </w:p>
    </w:sdtContent>
  </w:sdt>
  <w:p w:rsidR="00B50B4F" w:rsidRPr="00217CE9" w:rsidRDefault="00B50B4F">
    <w:pPr>
      <w:pStyle w:val="Footer"/>
      <w:rPr>
        <w:rFonts w:asciiTheme="majorHAnsi" w:hAnsiTheme="majorHAnsi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FE" w:rsidRDefault="00A96AFE" w:rsidP="002F5EE9">
      <w:r>
        <w:separator/>
      </w:r>
    </w:p>
  </w:footnote>
  <w:footnote w:type="continuationSeparator" w:id="0">
    <w:p w:rsidR="00A96AFE" w:rsidRDefault="00A96AFE" w:rsidP="002F5EE9">
      <w:r>
        <w:continuationSeparator/>
      </w:r>
    </w:p>
  </w:footnote>
  <w:footnote w:id="1">
    <w:p w:rsidR="007744E8" w:rsidRPr="00D94548" w:rsidRDefault="007744E8" w:rsidP="007744E8">
      <w:pPr>
        <w:pStyle w:val="FootnoteText"/>
        <w:rPr>
          <w:rFonts w:asciiTheme="majorHAnsi" w:hAnsiTheme="majorHAnsi"/>
          <w:sz w:val="18"/>
          <w:szCs w:val="18"/>
        </w:rPr>
      </w:pPr>
      <w:r w:rsidRPr="00D94548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D94548">
        <w:rPr>
          <w:rFonts w:asciiTheme="majorHAnsi" w:hAnsiTheme="majorHAnsi"/>
          <w:sz w:val="18"/>
          <w:szCs w:val="18"/>
        </w:rPr>
        <w:t xml:space="preserve">  Bill No. 170678, as amended, does not alter existing bonus provisions, under Section 14-702(7) of the Philadelphia Code, which entitle developers who create and preserve “low-income” or “mixed-income” housing units to an increase in maximum floor area ratio for properties within CMX-3, CMX-4, and CMX-5 zoning districts. </w:t>
      </w:r>
      <w:r w:rsidR="002E7FD0">
        <w:rPr>
          <w:rFonts w:asciiTheme="majorHAnsi" w:hAnsiTheme="majorHAnsi"/>
          <w:sz w:val="18"/>
          <w:szCs w:val="18"/>
        </w:rPr>
        <w:t xml:space="preserve">  The September 27 amendment provides that bonuses are not available for projects of </w:t>
      </w:r>
      <w:r w:rsidR="006434AC">
        <w:rPr>
          <w:rFonts w:asciiTheme="majorHAnsi" w:hAnsiTheme="majorHAnsi"/>
          <w:sz w:val="18"/>
          <w:szCs w:val="18"/>
        </w:rPr>
        <w:t>three</w:t>
      </w:r>
      <w:r w:rsidR="002E7FD0">
        <w:rPr>
          <w:rFonts w:asciiTheme="majorHAnsi" w:hAnsiTheme="majorHAnsi"/>
          <w:sz w:val="18"/>
          <w:szCs w:val="18"/>
        </w:rPr>
        <w:t xml:space="preserve"> units or less; that CMX-3 floor area maximums increase by 50% in transit-oriented districts and that bonuses earned pursuant to 14-702(7) do not count against limitations of 14-702(4).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4F" w:rsidRDefault="00B50B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>
        <v:imagedata r:id="rId1" o:title="msoA3D0"/>
      </v:shape>
    </w:pict>
  </w:numPicBullet>
  <w:abstractNum w:abstractNumId="0">
    <w:nsid w:val="5DEC043E"/>
    <w:multiLevelType w:val="hybridMultilevel"/>
    <w:tmpl w:val="7A5A58D4"/>
    <w:lvl w:ilvl="0" w:tplc="2BC8EA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D04F37"/>
    <w:multiLevelType w:val="hybridMultilevel"/>
    <w:tmpl w:val="488470F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1B"/>
    <w:rsid w:val="00004A29"/>
    <w:rsid w:val="0000517B"/>
    <w:rsid w:val="0001383F"/>
    <w:rsid w:val="000356AA"/>
    <w:rsid w:val="000920F1"/>
    <w:rsid w:val="000A1A2F"/>
    <w:rsid w:val="000B0835"/>
    <w:rsid w:val="000B31D4"/>
    <w:rsid w:val="000C0D5D"/>
    <w:rsid w:val="000E4035"/>
    <w:rsid w:val="00162DF3"/>
    <w:rsid w:val="001A3A75"/>
    <w:rsid w:val="001C3EB8"/>
    <w:rsid w:val="001E7CF8"/>
    <w:rsid w:val="00217CE9"/>
    <w:rsid w:val="0026380E"/>
    <w:rsid w:val="002A56BB"/>
    <w:rsid w:val="002E7FD0"/>
    <w:rsid w:val="002F5EE9"/>
    <w:rsid w:val="0031680F"/>
    <w:rsid w:val="0031783F"/>
    <w:rsid w:val="003550FB"/>
    <w:rsid w:val="00357F79"/>
    <w:rsid w:val="00414616"/>
    <w:rsid w:val="00440C1B"/>
    <w:rsid w:val="004439DC"/>
    <w:rsid w:val="004834F2"/>
    <w:rsid w:val="0048543E"/>
    <w:rsid w:val="004939D4"/>
    <w:rsid w:val="004B5ECE"/>
    <w:rsid w:val="004F45F8"/>
    <w:rsid w:val="0054126C"/>
    <w:rsid w:val="0055465D"/>
    <w:rsid w:val="0060197B"/>
    <w:rsid w:val="00614FF3"/>
    <w:rsid w:val="006434AC"/>
    <w:rsid w:val="006A3ABC"/>
    <w:rsid w:val="006A4B4F"/>
    <w:rsid w:val="006C66CB"/>
    <w:rsid w:val="006D37A8"/>
    <w:rsid w:val="0070390D"/>
    <w:rsid w:val="00737F3F"/>
    <w:rsid w:val="0075387F"/>
    <w:rsid w:val="007744E8"/>
    <w:rsid w:val="007C0A21"/>
    <w:rsid w:val="007C626A"/>
    <w:rsid w:val="008028FB"/>
    <w:rsid w:val="00815995"/>
    <w:rsid w:val="00872F53"/>
    <w:rsid w:val="008D1739"/>
    <w:rsid w:val="00921DFF"/>
    <w:rsid w:val="009244F1"/>
    <w:rsid w:val="00974039"/>
    <w:rsid w:val="009760BE"/>
    <w:rsid w:val="009E5EC6"/>
    <w:rsid w:val="009F5AC5"/>
    <w:rsid w:val="00A03D2B"/>
    <w:rsid w:val="00A267E8"/>
    <w:rsid w:val="00A66E3F"/>
    <w:rsid w:val="00A96AFE"/>
    <w:rsid w:val="00AA194F"/>
    <w:rsid w:val="00AB1962"/>
    <w:rsid w:val="00AE0E55"/>
    <w:rsid w:val="00B26EF1"/>
    <w:rsid w:val="00B50B4F"/>
    <w:rsid w:val="00B90361"/>
    <w:rsid w:val="00BB7804"/>
    <w:rsid w:val="00BD1782"/>
    <w:rsid w:val="00BE1D99"/>
    <w:rsid w:val="00BF0F8A"/>
    <w:rsid w:val="00C73092"/>
    <w:rsid w:val="00C74D42"/>
    <w:rsid w:val="00CA50ED"/>
    <w:rsid w:val="00CB0679"/>
    <w:rsid w:val="00CB7B12"/>
    <w:rsid w:val="00D2309D"/>
    <w:rsid w:val="00D4020C"/>
    <w:rsid w:val="00D7511C"/>
    <w:rsid w:val="00D85E0D"/>
    <w:rsid w:val="00D94548"/>
    <w:rsid w:val="00D97C7B"/>
    <w:rsid w:val="00DB12C5"/>
    <w:rsid w:val="00DD1BEC"/>
    <w:rsid w:val="00DF34F6"/>
    <w:rsid w:val="00E01520"/>
    <w:rsid w:val="00E14E6F"/>
    <w:rsid w:val="00E410DC"/>
    <w:rsid w:val="00E64D63"/>
    <w:rsid w:val="00ED47FB"/>
    <w:rsid w:val="00EF672B"/>
    <w:rsid w:val="00F3671B"/>
    <w:rsid w:val="00F51A27"/>
    <w:rsid w:val="00FB1185"/>
    <w:rsid w:val="00FB6213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5EE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E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4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B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0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4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17CE9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7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5EE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E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4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B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0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4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17CE9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7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016B-ECD0-FE44-A86B-6338B84F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2949</Characters>
  <Application>Microsoft Macintosh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bodzin</dc:creator>
  <cp:lastModifiedBy>Jake Blumgart</cp:lastModifiedBy>
  <cp:revision>2</cp:revision>
  <cp:lastPrinted>2018-09-27T13:19:00Z</cp:lastPrinted>
  <dcterms:created xsi:type="dcterms:W3CDTF">2018-09-28T01:26:00Z</dcterms:created>
  <dcterms:modified xsi:type="dcterms:W3CDTF">2018-09-28T01:26:00Z</dcterms:modified>
</cp:coreProperties>
</file>